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宁夏回族自治区体育赛事活动管理办法</w:t>
      </w:r>
    </w:p>
    <w:bookmarkEnd w:id="0"/>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楷体" w:hAnsi="楷体" w:eastAsia="楷体" w:cs="楷体"/>
          <w:b/>
          <w:bCs/>
          <w:sz w:val="36"/>
          <w:szCs w:val="36"/>
          <w:shd w:val="clear" w:color="auto" w:fill="FFFFFF"/>
          <w:lang w:eastAsia="zh-CN"/>
        </w:rPr>
      </w:pPr>
      <w:r>
        <w:rPr>
          <w:rFonts w:hint="eastAsia" w:ascii="楷体" w:hAnsi="楷体" w:eastAsia="楷体" w:cs="楷体"/>
          <w:b/>
          <w:bCs/>
          <w:sz w:val="36"/>
          <w:szCs w:val="36"/>
          <w:shd w:val="clear" w:color="auto" w:fill="FFFFFF"/>
          <w:lang w:eastAsia="zh-CN"/>
        </w:rPr>
        <w:t>（征求意见稿）</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8"/>
          <w:rFonts w:hint="eastAsia" w:ascii="黑体" w:hAnsi="黑体" w:eastAsia="黑体" w:cs="仿宋_GB2312"/>
          <w:b w:val="0"/>
          <w:sz w:val="32"/>
          <w:szCs w:val="32"/>
          <w:shd w:val="clear" w:color="auto" w:fill="FFFFFF"/>
          <w:lang w:eastAsia="zh-CN"/>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黑体" w:hAnsi="黑体" w:eastAsia="黑体" w:cs="仿宋_GB2312"/>
          <w:b/>
          <w:sz w:val="32"/>
          <w:szCs w:val="32"/>
          <w:lang w:eastAsia="zh-CN"/>
        </w:rPr>
      </w:pPr>
      <w:r>
        <w:rPr>
          <w:rStyle w:val="8"/>
          <w:rFonts w:hint="eastAsia" w:ascii="黑体" w:hAnsi="黑体" w:eastAsia="黑体" w:cs="仿宋_GB2312"/>
          <w:b w:val="0"/>
          <w:sz w:val="32"/>
          <w:szCs w:val="32"/>
          <w:shd w:val="clear" w:color="auto" w:fill="FFFFFF"/>
          <w:lang w:eastAsia="zh-CN"/>
        </w:rPr>
        <w:t>第一章  总</w:t>
      </w:r>
      <w:r>
        <w:rPr>
          <w:rStyle w:val="8"/>
          <w:rFonts w:hint="eastAsia" w:ascii="黑体" w:hAnsi="黑体" w:eastAsia="黑体" w:cs="仿宋_GB2312"/>
          <w:b w:val="0"/>
          <w:sz w:val="32"/>
          <w:szCs w:val="32"/>
          <w:shd w:val="clear" w:color="auto" w:fill="FFFFFF"/>
          <w:lang w:val="en-US" w:eastAsia="zh-CN"/>
        </w:rPr>
        <w:t xml:space="preserve">  </w:t>
      </w:r>
      <w:r>
        <w:rPr>
          <w:rStyle w:val="8"/>
          <w:rFonts w:hint="eastAsia" w:ascii="黑体" w:hAnsi="黑体" w:eastAsia="黑体" w:cs="仿宋_GB2312"/>
          <w:b w:val="0"/>
          <w:sz w:val="32"/>
          <w:szCs w:val="32"/>
          <w:shd w:val="clear" w:color="auto" w:fill="FFFFFF"/>
          <w:lang w:eastAsia="zh-CN"/>
        </w:rPr>
        <w:t>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kern w:val="2"/>
          <w:sz w:val="32"/>
          <w:szCs w:val="32"/>
          <w:lang w:eastAsia="zh-CN" w:bidi="ar-SA"/>
        </w:rPr>
      </w:pPr>
      <w:r>
        <w:rPr>
          <w:rFonts w:hint="eastAsia" w:asciiTheme="minorEastAsia" w:hAnsiTheme="minorEastAsia" w:eastAsiaTheme="minorEastAsia" w:cstheme="minorEastAsia"/>
          <w:b/>
          <w:bCs/>
          <w:kern w:val="2"/>
          <w:sz w:val="32"/>
          <w:szCs w:val="32"/>
          <w:lang w:eastAsia="zh-CN" w:bidi="ar-SA"/>
        </w:rPr>
        <w:t>第一条</w:t>
      </w:r>
      <w:r>
        <w:rPr>
          <w:rFonts w:hint="eastAsia" w:ascii="仿宋_GB2312" w:eastAsia="仿宋_GB2312" w:cs="Times New Roman"/>
          <w:kern w:val="2"/>
          <w:sz w:val="32"/>
          <w:szCs w:val="32"/>
          <w:lang w:eastAsia="zh-CN" w:bidi="ar-SA"/>
        </w:rPr>
        <w:t xml:space="preserve">  为</w:t>
      </w:r>
      <w:r>
        <w:rPr>
          <w:rFonts w:hint="eastAsia" w:ascii="仿宋_GB2312" w:hAnsi="仿宋_GB2312" w:eastAsia="仿宋_GB2312" w:cs="仿宋_GB2312"/>
          <w:kern w:val="2"/>
          <w:sz w:val="32"/>
          <w:szCs w:val="32"/>
          <w:lang w:eastAsia="zh-CN" w:bidi="ar-SA"/>
        </w:rPr>
        <w:t>加强体育赛事活动管理，规范体育赛事活动，促进体育赛事活动安全、健康发展，依据《中华人民共和国体育法》《全民健身条例》，结合实际，制定本办法。</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kern w:val="2"/>
          <w:sz w:val="32"/>
          <w:szCs w:val="32"/>
          <w:lang w:eastAsia="zh-CN" w:bidi="ar-SA"/>
        </w:rPr>
      </w:pPr>
      <w:r>
        <w:rPr>
          <w:rFonts w:hint="eastAsia" w:asciiTheme="minorEastAsia" w:hAnsiTheme="minorEastAsia" w:eastAsiaTheme="minorEastAsia" w:cstheme="minorEastAsia"/>
          <w:b/>
          <w:bCs/>
          <w:kern w:val="2"/>
          <w:sz w:val="32"/>
          <w:szCs w:val="32"/>
          <w:lang w:eastAsia="zh-CN" w:bidi="ar-SA"/>
        </w:rPr>
        <w:t xml:space="preserve">第二条 </w:t>
      </w:r>
      <w:r>
        <w:rPr>
          <w:rFonts w:hint="eastAsia" w:ascii="仿宋_GB2312" w:eastAsia="仿宋_GB2312" w:cs="Times New Roman"/>
          <w:kern w:val="2"/>
          <w:sz w:val="32"/>
          <w:szCs w:val="32"/>
          <w:lang w:eastAsia="zh-CN" w:bidi="ar-SA"/>
        </w:rPr>
        <w:t xml:space="preserve"> </w:t>
      </w:r>
      <w:r>
        <w:rPr>
          <w:rFonts w:hint="eastAsia" w:ascii="仿宋_GB2312" w:hAnsi="仿宋_GB2312" w:eastAsia="仿宋_GB2312" w:cs="仿宋_GB2312"/>
          <w:kern w:val="2"/>
          <w:sz w:val="32"/>
          <w:szCs w:val="32"/>
          <w:lang w:eastAsia="zh-CN" w:bidi="ar-SA"/>
        </w:rPr>
        <w:t>本办法所称体育赛事活动，是指在宁夏回族自治区内依法举办的各级各类体育赛事活动的统称。</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kern w:val="2"/>
          <w:sz w:val="32"/>
          <w:szCs w:val="32"/>
          <w:lang w:eastAsia="zh-CN" w:bidi="ar-SA"/>
        </w:rPr>
      </w:pPr>
      <w:r>
        <w:rPr>
          <w:rFonts w:hint="eastAsia" w:asciiTheme="minorEastAsia" w:hAnsiTheme="minorEastAsia" w:eastAsiaTheme="minorEastAsia" w:cstheme="minorEastAsia"/>
          <w:b/>
          <w:bCs/>
          <w:kern w:val="2"/>
          <w:sz w:val="32"/>
          <w:szCs w:val="32"/>
          <w:lang w:eastAsia="zh-CN" w:bidi="ar-SA"/>
        </w:rPr>
        <w:t>第三条</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eastAsia="zh-CN" w:bidi="ar-SA"/>
        </w:rPr>
        <w:t>体育赛事活动坚持属地政府监管与行业监管、分级监管相结合原则，加强事前事中事后监管，优化体育赛事活动服务。</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市、县（区）人民政府对本区域内举办的各类体育赛事活动履行属地监管责任。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自治区、市、县（区）体育、教育等部门按行业、层级归口监管本行业领域相应层级体育赛事活动。</w:t>
      </w:r>
    </w:p>
    <w:p>
      <w:pPr>
        <w:pStyle w:val="5"/>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eastAsia="仿宋_GB2312" w:cs="Times New Roman"/>
          <w:kern w:val="2"/>
          <w:sz w:val="32"/>
          <w:szCs w:val="32"/>
          <w:lang w:eastAsia="zh-CN" w:bidi="ar-SA"/>
        </w:rPr>
        <w:t xml:space="preserve"> 体育赛事活动</w:t>
      </w:r>
      <w:r>
        <w:rPr>
          <w:rFonts w:hint="eastAsia" w:ascii="仿宋_GB2312" w:hAnsi="仿宋_GB2312" w:eastAsia="仿宋_GB2312" w:cs="仿宋_GB2312"/>
          <w:kern w:val="2"/>
          <w:sz w:val="32"/>
          <w:szCs w:val="32"/>
          <w:lang w:eastAsia="zh-CN" w:bidi="ar-SA"/>
        </w:rPr>
        <w:t>主办方、承办方、协办方等体育赛事活动组织者应当按照赛前约定事项和责任分工分别履行组织保障义务，做好体育赛事活动各项工作。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仿宋_GB2312" w:hAnsi="仿宋_GB2312" w:eastAsia="仿宋_GB2312" w:cs="仿宋_GB2312"/>
          <w:b/>
          <w:color w:val="FF0000"/>
          <w:sz w:val="32"/>
          <w:szCs w:val="32"/>
          <w:shd w:val="clear" w:color="auto" w:fill="FFFFFF"/>
          <w:lang w:eastAsia="zh-CN"/>
        </w:rPr>
      </w:pPr>
      <w:r>
        <w:rPr>
          <w:rStyle w:val="8"/>
          <w:rFonts w:hint="eastAsia" w:ascii="黑体" w:hAnsi="黑体" w:eastAsia="黑体" w:cs="仿宋_GB2312"/>
          <w:b w:val="0"/>
          <w:sz w:val="32"/>
          <w:szCs w:val="32"/>
          <w:shd w:val="clear" w:color="auto" w:fill="FFFFFF"/>
          <w:lang w:eastAsia="zh-CN"/>
        </w:rPr>
        <w:t>第二章  申办和审批报告</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第五条</w:t>
      </w:r>
      <w:r>
        <w:rPr>
          <w:rFonts w:hint="eastAsia" w:ascii="仿宋_GB2312" w:hAnsi="仿宋_GB2312" w:eastAsia="仿宋_GB2312" w:cs="仿宋_GB2312"/>
          <w:color w:val="000000"/>
          <w:kern w:val="2"/>
          <w:sz w:val="32"/>
          <w:szCs w:val="32"/>
          <w:lang w:val="en-US" w:eastAsia="zh-CN" w:bidi="ar-SA"/>
        </w:rPr>
        <w:t xml:space="preserve">  机关、企事业单位、社会组织和个人可依法组织和举办体育赛事活动。</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第六条</w:t>
      </w:r>
      <w:r>
        <w:rPr>
          <w:rFonts w:hint="eastAsia" w:ascii="仿宋_GB2312" w:hAnsi="宋体" w:eastAsia="仿宋_GB2312" w:cs="Times New Roman"/>
          <w:kern w:val="2"/>
          <w:sz w:val="32"/>
          <w:szCs w:val="32"/>
          <w:lang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宁夏回族自治区运动会由市人民政府申办，报自治区人民政府批准后举办。</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市、县（区）综合性运动会由市、县（区）人民政府批准后举办。</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eastAsia" w:ascii="仿宋_GB2312" w:hAnsi="仿宋_GB2312" w:eastAsia="仿宋_GB2312" w:cs="仿宋_GB2312"/>
          <w:kern w:val="2"/>
          <w:sz w:val="32"/>
          <w:szCs w:val="32"/>
          <w:lang w:eastAsia="zh-CN" w:bidi="ar-SA"/>
        </w:rPr>
      </w:pPr>
      <w:r>
        <w:rPr>
          <w:rFonts w:hint="eastAsia" w:asciiTheme="minorEastAsia" w:hAnsiTheme="minorEastAsia" w:eastAsiaTheme="minorEastAsia" w:cstheme="minorEastAsia"/>
          <w:b/>
          <w:bCs/>
          <w:kern w:val="2"/>
          <w:sz w:val="32"/>
          <w:szCs w:val="32"/>
          <w:lang w:eastAsia="zh-CN" w:bidi="ar-SA"/>
        </w:rPr>
        <w:t>第七条</w:t>
      </w:r>
      <w:r>
        <w:rPr>
          <w:rFonts w:hint="eastAsia" w:ascii="仿宋_GB2312" w:eastAsia="仿宋_GB2312" w:cs="Times New Roman"/>
          <w:kern w:val="2"/>
          <w:sz w:val="32"/>
          <w:szCs w:val="32"/>
          <w:lang w:eastAsia="zh-CN" w:bidi="ar-SA"/>
        </w:rPr>
        <w:t xml:space="preserve">  </w:t>
      </w:r>
      <w:r>
        <w:rPr>
          <w:rFonts w:hint="eastAsia" w:ascii="仿宋_GB2312" w:hAnsi="仿宋_GB2312" w:eastAsia="仿宋_GB2312" w:cs="仿宋_GB2312"/>
          <w:kern w:val="2"/>
          <w:sz w:val="32"/>
          <w:szCs w:val="32"/>
          <w:lang w:eastAsia="zh-CN" w:bidi="ar-SA"/>
        </w:rPr>
        <w:t>申办国际体育赛事活动按照国家体育总局相关规定执行。</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default"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 xml:space="preserve">第八条  </w:t>
      </w:r>
      <w:r>
        <w:rPr>
          <w:rFonts w:hint="eastAsia" w:ascii="仿宋_GB2312" w:eastAsia="仿宋_GB2312" w:cs="Times New Roman"/>
          <w:kern w:val="2"/>
          <w:sz w:val="32"/>
          <w:szCs w:val="32"/>
          <w:lang w:eastAsia="zh-CN" w:bidi="ar-SA"/>
        </w:rPr>
        <w:t>举办潜水赛事活动、航空运动赛事活动、登山相关赛事活动、攀岩相关赛事活动、滑雪相关赛事活动、汽车摩托车相关赛事活动等高危险性体育赛事活动，应当依法</w:t>
      </w:r>
      <w:r>
        <w:rPr>
          <w:rFonts w:hint="eastAsia" w:ascii="仿宋_GB2312" w:hAnsi="仿宋_GB2312" w:eastAsia="仿宋_GB2312" w:cs="仿宋_GB2312"/>
          <w:color w:val="000000"/>
          <w:kern w:val="2"/>
          <w:sz w:val="32"/>
          <w:szCs w:val="32"/>
          <w:lang w:val="en-US" w:eastAsia="zh-CN" w:bidi="ar-SA"/>
        </w:rPr>
        <w:t>按规定程序到体育部门办理行政许可。</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第九条</w:t>
      </w:r>
      <w:r>
        <w:rPr>
          <w:rFonts w:hint="eastAsia" w:ascii="仿宋_GB2312" w:hAnsi="宋体" w:eastAsia="仿宋_GB2312" w:cs="Times New Roman"/>
          <w:kern w:val="2"/>
          <w:sz w:val="32"/>
          <w:szCs w:val="32"/>
          <w:lang w:eastAsia="zh-CN" w:bidi="ar-SA"/>
        </w:rPr>
        <w:t>　</w:t>
      </w:r>
      <w:r>
        <w:rPr>
          <w:rFonts w:hint="eastAsia" w:ascii="仿宋_GB2312" w:hAnsi="仿宋_GB2312" w:eastAsia="仿宋_GB2312" w:cs="仿宋_GB2312"/>
          <w:color w:val="000000"/>
          <w:kern w:val="2"/>
          <w:sz w:val="32"/>
          <w:szCs w:val="32"/>
          <w:lang w:val="en-US" w:eastAsia="zh-CN" w:bidi="ar-SA"/>
        </w:rPr>
        <w:t>境外非政府组织在宁夏开展体育赛事活动，应当依法登记设立代表机构。未登记设立代表机构需要开展临时体育赛事活动的，应当经自治区体育局同意，并报自治区公安厅备案。</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第十条</w:t>
      </w:r>
      <w:r>
        <w:rPr>
          <w:rFonts w:hint="eastAsia" w:ascii="仿宋_GB2312" w:hAnsi="宋体" w:eastAsia="仿宋_GB2312" w:cs="Times New Roman"/>
          <w:kern w:val="2"/>
          <w:sz w:val="32"/>
          <w:szCs w:val="32"/>
          <w:lang w:eastAsia="zh-CN" w:bidi="ar-SA"/>
        </w:rPr>
        <w:t>　</w:t>
      </w:r>
      <w:r>
        <w:rPr>
          <w:rFonts w:hint="eastAsia" w:ascii="仿宋_GB2312" w:hAnsi="仿宋_GB2312" w:eastAsia="仿宋_GB2312" w:cs="仿宋_GB2312"/>
          <w:color w:val="000000"/>
          <w:kern w:val="2"/>
          <w:sz w:val="32"/>
          <w:szCs w:val="32"/>
          <w:lang w:val="en-US" w:eastAsia="zh-CN" w:bidi="ar-SA"/>
        </w:rPr>
        <w:t>除第七、八、九条规定外，公安、市场监管、卫生健康、交通运输、无线电管理、外事等部门另有规定的，主办方或承办方应按规定办理。</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 xml:space="preserve">第十一条  </w:t>
      </w:r>
      <w:r>
        <w:rPr>
          <w:rFonts w:hint="eastAsia" w:ascii="仿宋_GB2312" w:hAnsi="仿宋_GB2312" w:eastAsia="仿宋_GB2312" w:cs="仿宋_GB2312"/>
          <w:color w:val="000000"/>
          <w:kern w:val="2"/>
          <w:sz w:val="32"/>
          <w:szCs w:val="32"/>
          <w:lang w:val="en-US" w:eastAsia="zh-CN" w:bidi="ar-SA"/>
        </w:rPr>
        <w:t>举办体育赛事活动应当根据赛事活动规模、等级等向县级以上人民政府或县级以上人民政府公安、体育、教育等部门报告。自治区、市、县（区）体育、教育等部门应当加强对本行政区域内体育赛事活动信息收集工作，制定年度体育赛事活动服务指导目录，加强赛事研判、赛中指导、赛后评估。对参与人数较多、人身危险性较高或专业技术性较强的体育赛事活动，应当重点监管，推动各有关部门监管信息共享和统一应用，实现综合监管、智慧监管、动态监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参加体育赛事活动人数在1000人以下的，赛事活动承办方应当在赛事活动举办日7日前向属地公安、体育部门报告。参加体育赛事活动人数在1000人（含）以上、不足5000人的，由赛事活动所在地县（区）级公安部门实施安全许可，并向体育部门报告；超过5000人（含）的，由赛事活动所在地市级公安部门实施安全许可，并向体育部门报告。赛事活动承办方应当在赛事活动举办日20日前向公安部门提出安全许可申请，按规定提交安全工作方案等材料。公安部门自受理之日起7日内作出许可或不予许可决定。县级以上人民政府直接举办的体育赛事活动安全保卫工作，由举办比赛活动的人民政府负责，不实行安全许可制度，但应当于比赛活动举办日前20日前责成或会同有关公安部门制定并组织实施更加严格的安全保卫工作方案。</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第十二条</w:t>
      </w:r>
      <w:r>
        <w:rPr>
          <w:rFonts w:hint="eastAsia" w:ascii="仿宋_GB2312" w:hAnsi="宋体" w:eastAsia="仿宋_GB2312" w:cs="Times New Roman"/>
          <w:kern w:val="2"/>
          <w:sz w:val="32"/>
          <w:szCs w:val="32"/>
          <w:lang w:eastAsia="zh-CN" w:bidi="ar-SA"/>
        </w:rPr>
        <w:t xml:space="preserve">  </w:t>
      </w:r>
      <w:r>
        <w:rPr>
          <w:rFonts w:hint="eastAsia" w:ascii="仿宋_GB2312" w:hAnsi="仿宋_GB2312" w:eastAsia="仿宋_GB2312" w:cs="仿宋_GB2312"/>
          <w:color w:val="000000"/>
          <w:kern w:val="2"/>
          <w:sz w:val="32"/>
          <w:szCs w:val="32"/>
          <w:lang w:val="en-US" w:eastAsia="zh-CN" w:bidi="ar-SA"/>
        </w:rPr>
        <w:t>体育赛事活动名称应当符合下列规定：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（一）与举办地域和体育赛事活动的项目内容相一致；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（二）与主办方开展活动的行业领域和人群范围相一致；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（三）与其他自然人、法人或非法人组织举办的体育赛事活动名称有实质性区别；</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（四）不得侵犯其他自然人、法人或非法人组织的合法权益；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（五）不得含有欺骗或可能造成公众误解的文字；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宋体" w:eastAsia="仿宋_GB2312" w:cs="Times New Roman"/>
          <w:kern w:val="2"/>
          <w:sz w:val="32"/>
          <w:szCs w:val="32"/>
          <w:lang w:eastAsia="zh-CN" w:bidi="ar-SA"/>
        </w:rPr>
        <w:t>（</w:t>
      </w:r>
      <w:r>
        <w:rPr>
          <w:rFonts w:hint="eastAsia" w:ascii="仿宋_GB2312" w:hAnsi="仿宋_GB2312" w:eastAsia="仿宋_GB2312" w:cs="仿宋_GB2312"/>
          <w:color w:val="000000"/>
          <w:kern w:val="2"/>
          <w:sz w:val="32"/>
          <w:szCs w:val="32"/>
          <w:lang w:val="en-US" w:eastAsia="zh-CN" w:bidi="ar-SA"/>
        </w:rPr>
        <w:t>六）不得使用具有宗教含义的文字、图案、标识；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（七）按照国家法律法规、政策要求使用“一带一路”“金砖国家”“上合组织”等含有政治、外交属性的文字；</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（八）符合国家通用语言文字的规范和标准；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（九）相关法律、法规和规章的其他规定；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8"/>
          <w:rFonts w:hint="eastAsia" w:ascii="黑体" w:hAnsi="黑体" w:eastAsia="黑体"/>
          <w:b w:val="0"/>
          <w:sz w:val="32"/>
          <w:szCs w:val="32"/>
          <w:shd w:val="clear" w:color="auto" w:fill="FFFFFF"/>
          <w:lang w:eastAsia="zh-CN"/>
        </w:rPr>
      </w:pPr>
      <w:r>
        <w:rPr>
          <w:rFonts w:hint="eastAsia" w:ascii="仿宋_GB2312" w:hAnsi="仿宋_GB2312" w:eastAsia="仿宋_GB2312" w:cs="仿宋_GB2312"/>
          <w:color w:val="000000"/>
          <w:kern w:val="2"/>
          <w:sz w:val="32"/>
          <w:szCs w:val="32"/>
          <w:lang w:val="en-US" w:eastAsia="zh-CN" w:bidi="ar-SA"/>
        </w:rPr>
        <w:t>（十）自治区党委、政府部门及直属机构、直属事业单位、自治区级社会组织主办或承办的全区性体育赛事活动，名称中可以使用“宁夏”“宁夏回族自治区”“自治区”“全区”字样或具有类似含义的词汇，其他体育赛事活动不得使用与其相同或类似的名称。</w:t>
      </w: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ascii="仿宋_GB2312" w:hAnsi="仿宋_GB2312" w:eastAsia="仿宋_GB2312" w:cs="仿宋_GB2312"/>
          <w:color w:val="000000" w:themeColor="text1"/>
          <w:sz w:val="32"/>
          <w:szCs w:val="32"/>
          <w:lang w:eastAsia="zh-CN"/>
          <w14:textFill>
            <w14:solidFill>
              <w14:schemeClr w14:val="tx1"/>
            </w14:solidFill>
          </w14:textFill>
        </w:rPr>
      </w:pPr>
      <w:r>
        <w:rPr>
          <w:rStyle w:val="8"/>
          <w:rFonts w:hint="eastAsia" w:ascii="黑体" w:hAnsi="黑体" w:eastAsia="黑体"/>
          <w:b w:val="0"/>
          <w:sz w:val="32"/>
          <w:szCs w:val="32"/>
          <w:shd w:val="clear" w:color="auto" w:fill="FFFFFF"/>
          <w:lang w:eastAsia="zh-CN"/>
        </w:rPr>
        <w:t xml:space="preserve">第三章 </w:t>
      </w:r>
      <w:r>
        <w:rPr>
          <w:rStyle w:val="8"/>
          <w:rFonts w:hint="eastAsia" w:ascii="黑体" w:hAnsi="黑体" w:eastAsia="黑体"/>
          <w:b w:val="0"/>
          <w:sz w:val="32"/>
          <w:szCs w:val="32"/>
          <w:shd w:val="clear" w:color="auto" w:fill="FFFFFF"/>
          <w:lang w:val="en-US" w:eastAsia="zh-CN"/>
        </w:rPr>
        <w:t xml:space="preserve"> </w:t>
      </w:r>
      <w:r>
        <w:rPr>
          <w:rStyle w:val="8"/>
          <w:rFonts w:hint="eastAsia" w:ascii="黑体" w:hAnsi="黑体" w:eastAsia="黑体"/>
          <w:b w:val="0"/>
          <w:sz w:val="32"/>
          <w:szCs w:val="32"/>
          <w:shd w:val="clear" w:color="auto" w:fill="FFFFFF"/>
          <w:lang w:eastAsia="zh-CN"/>
        </w:rPr>
        <w:t>行政许可</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 xml:space="preserve">第十三条 </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kern w:val="2"/>
          <w:sz w:val="32"/>
          <w:szCs w:val="32"/>
          <w:lang w:val="en-US" w:eastAsia="zh-CN" w:bidi="ar-SA"/>
        </w:rPr>
        <w:t>市、县（区）体育行政部门负责所辖区域内潜水、航空、登山、攀岩、滑雪、汽车摩托车等高危险性体育赛事活动行政许可工作。跨行政区域的高危险性体育赛事活动由所在行政区域的市、县（区）体育行政部门协商确定许可方式，协商不一致的，须向相关行政区域的上级体育行政部门分别提出申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自治区体育局指导市、县（区）高危险性体育赛事活动行政许可工作。高危险性体育赛事活动以国家体育总局公布的类型名称为准。</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 xml:space="preserve">第十四条 </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kern w:val="2"/>
          <w:sz w:val="32"/>
          <w:szCs w:val="32"/>
          <w:lang w:val="en-US" w:eastAsia="zh-CN" w:bidi="ar-SA"/>
        </w:rPr>
        <w:t>高危险性体育赛事活动组织者应当向市、县（区）体育部门提出申请，并提交下列材料：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（一）申请书。申请书应当包括体育赛事活动的名称、时间、地点、规模、主办方、承办方、协办方、参赛条件等内容；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（二）专业技术人员的资格或资质证明材料；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（三）场地、器材和设施符合相关标准和要求的说明性材料；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（四）主办方、承办方、协办方等体育赛事活动组织者用以约定各方权利义务和责任分工的书面协议；</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（五）风险评估报告、风险防范及应急处置预案、安全工作方案、医疗保障及救援方案、赛事活动“熔断”机制、赛事活动组织方案等材料；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（六）法律法规规定的其他材料。</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snapToGrid w:val="0"/>
          <w:color w:val="000000" w:themeColor="text1"/>
          <w:spacing w:val="-20"/>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第十五条</w:t>
      </w:r>
      <w:r>
        <w:rPr>
          <w:rFonts w:hint="eastAsia" w:ascii="仿宋_GB2312" w:hAnsi="仿宋_GB2312" w:eastAsia="仿宋_GB2312" w:cs="仿宋_GB2312"/>
          <w:b/>
          <w:color w:val="000000" w:themeColor="text1"/>
          <w:sz w:val="32"/>
          <w:szCs w:val="32"/>
          <w:shd w:val="clear" w:color="auto" w:fill="FFFFFF"/>
          <w:lang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shd w:val="clear" w:color="auto" w:fill="FFFFFF"/>
          <w:lang w:eastAsia="zh-CN"/>
          <w14:textFill>
            <w14:solidFill>
              <w14:schemeClr w14:val="tx1"/>
            </w14:solidFill>
          </w14:textFill>
        </w:rPr>
        <w:t>市、县（区）</w:t>
      </w:r>
      <w:r>
        <w:rPr>
          <w:rFonts w:hint="eastAsia" w:ascii="仿宋_GB2312" w:hAnsi="仿宋_GB2312" w:eastAsia="仿宋_GB2312" w:cs="仿宋_GB2312"/>
          <w:b w:val="0"/>
          <w:bCs/>
          <w:color w:val="000000"/>
          <w:kern w:val="2"/>
          <w:sz w:val="32"/>
          <w:szCs w:val="32"/>
          <w:lang w:val="en-US" w:eastAsia="zh-CN" w:bidi="ar-SA"/>
        </w:rPr>
        <w:t>体</w:t>
      </w:r>
      <w:r>
        <w:rPr>
          <w:rFonts w:hint="eastAsia" w:ascii="仿宋_GB2312" w:hAnsi="仿宋_GB2312" w:eastAsia="仿宋_GB2312" w:cs="仿宋_GB2312"/>
          <w:color w:val="000000"/>
          <w:kern w:val="2"/>
          <w:sz w:val="32"/>
          <w:szCs w:val="32"/>
          <w:lang w:val="en-US" w:eastAsia="zh-CN" w:bidi="ar-SA"/>
        </w:rPr>
        <w:t>育部门应当自收到申请之日起三十日内进行实地核查，并作出批准或者不予批准的决定。批准举办的，应当作出书面决定；不予批准的，应当书面通知申请人并说明理由。</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 xml:space="preserve">第十六条 </w:t>
      </w:r>
      <w:r>
        <w:rPr>
          <w:rFonts w:hint="eastAsia" w:ascii="仿宋_GB2312" w:hAnsi="仿宋_GB2312" w:eastAsia="仿宋_GB2312" w:cs="仿宋_GB2312"/>
          <w:b/>
          <w:color w:val="000000" w:themeColor="text1"/>
          <w:sz w:val="32"/>
          <w:szCs w:val="32"/>
          <w:shd w:val="clear" w:color="auto" w:fill="FFFFFF"/>
          <w:lang w:eastAsia="zh-CN"/>
          <w14:textFill>
            <w14:solidFill>
              <w14:schemeClr w14:val="tx1"/>
            </w14:solidFill>
          </w14:textFill>
        </w:rPr>
        <w:t xml:space="preserve"> </w:t>
      </w:r>
      <w:r>
        <w:rPr>
          <w:rFonts w:hint="eastAsia" w:ascii="仿宋_GB2312" w:hAnsi="仿宋_GB2312" w:eastAsia="仿宋_GB2312" w:cs="仿宋_GB2312"/>
          <w:color w:val="000000"/>
          <w:kern w:val="2"/>
          <w:sz w:val="32"/>
          <w:szCs w:val="32"/>
          <w:lang w:val="en-US" w:eastAsia="zh-CN" w:bidi="ar-SA"/>
        </w:rPr>
        <w:t>书面决定应当包括下列内容：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（一）高危险性体育赛事活动主办方、承办方、协办方和负责人姓名；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（二）高危险性体育赛事活动名称、时间、地点、规模、参赛条件等基本信息；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（三）实地核查情况；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（四）批准情况。</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 xml:space="preserve">第十七条 </w:t>
      </w:r>
      <w:r>
        <w:rPr>
          <w:rFonts w:hint="eastAsia" w:ascii="仿宋_GB2312" w:hAnsi="仿宋_GB2312" w:eastAsia="仿宋_GB2312" w:cs="仿宋_GB2312"/>
          <w:b/>
          <w:color w:val="000000" w:themeColor="text1"/>
          <w:sz w:val="32"/>
          <w:szCs w:val="32"/>
          <w:shd w:val="clear" w:color="auto" w:fill="FFFFFF"/>
          <w:lang w:eastAsia="zh-CN"/>
          <w14:textFill>
            <w14:solidFill>
              <w14:schemeClr w14:val="tx1"/>
            </w14:solidFill>
          </w14:textFill>
        </w:rPr>
        <w:t xml:space="preserve"> </w:t>
      </w:r>
      <w:r>
        <w:rPr>
          <w:rFonts w:hint="eastAsia" w:ascii="仿宋_GB2312" w:hAnsi="仿宋_GB2312" w:eastAsia="仿宋_GB2312" w:cs="仿宋_GB2312"/>
          <w:color w:val="000000"/>
          <w:kern w:val="2"/>
          <w:sz w:val="32"/>
          <w:szCs w:val="32"/>
          <w:lang w:val="en-US" w:eastAsia="zh-CN" w:bidi="ar-SA"/>
        </w:rPr>
        <w:t>因特殊原因需要变更申请材料或取消高危险性体育赛事活动的，体育赛事活动组织者应当在体育赛事活动开始前向作出行政许可决定的市、县（区）体育部门申请办理变更或取消手续。市、县（区）体育部门应当进行审查，根据情况作出新的许可决定或者撤销原许可决定。</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第十八条</w:t>
      </w:r>
      <w:r>
        <w:rPr>
          <w:rFonts w:hint="eastAsia" w:ascii="仿宋_GB2312" w:hAnsi="仿宋_GB2312" w:eastAsia="仿宋_GB2312" w:cs="仿宋_GB2312"/>
          <w:b/>
          <w:color w:val="000000" w:themeColor="text1"/>
          <w:sz w:val="32"/>
          <w:szCs w:val="32"/>
          <w:shd w:val="clear" w:color="auto" w:fill="FFFFFF"/>
          <w:lang w:eastAsia="zh-CN"/>
          <w14:textFill>
            <w14:solidFill>
              <w14:schemeClr w14:val="tx1"/>
            </w14:solidFill>
          </w14:textFill>
        </w:rPr>
        <w:t xml:space="preserve">  </w:t>
      </w:r>
      <w:r>
        <w:rPr>
          <w:rFonts w:hint="eastAsia" w:ascii="仿宋_GB2312" w:hAnsi="仿宋_GB2312" w:eastAsia="仿宋_GB2312" w:cs="仿宋_GB2312"/>
          <w:color w:val="000000"/>
          <w:kern w:val="2"/>
          <w:sz w:val="32"/>
          <w:szCs w:val="32"/>
          <w:lang w:val="en-US" w:eastAsia="zh-CN" w:bidi="ar-SA"/>
        </w:rPr>
        <w:t>上级体育部门应当加强对下级体育部门实施行政许可的监督检查，及时纠正行政许可实施中的不当和违法行为。</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第十九条</w:t>
      </w:r>
      <w:r>
        <w:rPr>
          <w:rFonts w:hint="eastAsia" w:ascii="仿宋_GB2312" w:hAnsi="仿宋_GB2312" w:eastAsia="仿宋_GB2312" w:cs="仿宋_GB2312"/>
          <w:b/>
          <w:color w:val="000000" w:themeColor="text1"/>
          <w:sz w:val="32"/>
          <w:szCs w:val="32"/>
          <w:shd w:val="clear" w:color="auto" w:fill="FFFFFF"/>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市、县（区）</w:t>
      </w:r>
      <w:r>
        <w:rPr>
          <w:rFonts w:hint="eastAsia" w:ascii="仿宋_GB2312" w:hAnsi="仿宋_GB2312" w:eastAsia="仿宋_GB2312" w:cs="仿宋_GB2312"/>
          <w:color w:val="000000"/>
          <w:kern w:val="2"/>
          <w:sz w:val="32"/>
          <w:szCs w:val="32"/>
          <w:lang w:val="en-US" w:eastAsia="zh-CN" w:bidi="ar-SA"/>
        </w:rPr>
        <w:t>体育部门应当及时向社会公布高危险性体育赛事活动行政许可情况。</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8"/>
          <w:rFonts w:ascii="黑体" w:hAnsi="黑体" w:eastAsia="黑体" w:cs="仿宋_GB2312"/>
          <w:b w:val="0"/>
          <w:sz w:val="32"/>
          <w:szCs w:val="32"/>
          <w:shd w:val="clear" w:color="auto" w:fill="FFFFFF"/>
          <w:lang w:eastAsia="zh-CN"/>
        </w:rPr>
      </w:pPr>
      <w:r>
        <w:rPr>
          <w:rStyle w:val="8"/>
          <w:rFonts w:hint="eastAsia" w:ascii="黑体" w:hAnsi="黑体" w:eastAsia="黑体" w:cs="仿宋_GB2312"/>
          <w:b w:val="0"/>
          <w:sz w:val="32"/>
          <w:szCs w:val="32"/>
          <w:shd w:val="clear" w:color="auto" w:fill="FFFFFF"/>
          <w:lang w:eastAsia="zh-CN"/>
        </w:rPr>
        <w:t>第四章  组织管理</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 xml:space="preserve">第二十条 </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kern w:val="2"/>
          <w:sz w:val="32"/>
          <w:szCs w:val="32"/>
          <w:lang w:val="en-US" w:eastAsia="zh-CN" w:bidi="ar-SA"/>
        </w:rPr>
        <w:t>体育赛事活动主办方负责对体育赛事活动的全面组织，提出体育赛事活动组织方案（包括赛事活动名称、日期、地点、参赛条件、项目设置、规模、录取与奖励、工作机构与职责分工、经费来源等），发布赛事文件（包括竞赛规程、补充通知、赛风赛纪有关规定等），向参赛各方告知“熔断”机制启动条件、程序、处置措施、法律后果等内容，任命技术代表（含赛事监督）、纠纷解决委员会成员、总裁判长及委派主要裁判；与承办方共同建立组委会等组织机制，根据需要组建综合协调、竞赛、安全、新闻、医疗、气象服务、场地保障和志愿者服务等工作机构。明确主办、承办双方的责任分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承办方应当根据体育赛事活动组织方案做好体育赛事活动各项服务保障工作，确保体育赛事活动安全；召开赛事活动风险研判分析会议，制定风险防范及应急处置预案和安全工作方案等保障措施，并督促落实。主办方直接承担体育赛事活动筹备和组织工作的，履行承办方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协办方应当确保其在体育赛事活动中提供的产品、设施或服务质量和安全。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场地空间、器材提供方或管理者应当尽到安全保障义务，遇有突发情况在力所能及范围内协助体育赛事活动有关办事机构或部门承担应急救援等救助任务。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自治区、市、县（区）体育、教育等行政部门应当根据实际会同同级有关部门建立体育赛事活动部门协同工作机制和“熔断”机制，提升体育赛事活动综合保障能力和应对突发事件能力。</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 xml:space="preserve">第二十一条  </w:t>
      </w:r>
      <w:r>
        <w:rPr>
          <w:rFonts w:hint="eastAsia" w:ascii="仿宋_GB2312" w:hAnsi="仿宋_GB2312" w:eastAsia="仿宋_GB2312" w:cs="仿宋_GB2312"/>
          <w:color w:val="000000"/>
          <w:kern w:val="2"/>
          <w:sz w:val="32"/>
          <w:szCs w:val="32"/>
          <w:lang w:val="en-US" w:eastAsia="zh-CN" w:bidi="ar-SA"/>
        </w:rPr>
        <w:t>赛事活动组委会应加强比赛规则、参赛要求学习培训，督促参加比赛活动人员遵守赛风赛纪及反兴奋剂等相关规定。</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 xml:space="preserve">第二十二条  </w:t>
      </w:r>
      <w:r>
        <w:rPr>
          <w:rFonts w:hint="eastAsia" w:ascii="仿宋_GB2312" w:hAnsi="仿宋_GB2312" w:eastAsia="仿宋_GB2312" w:cs="仿宋_GB2312"/>
          <w:color w:val="000000"/>
          <w:kern w:val="2"/>
          <w:sz w:val="32"/>
          <w:szCs w:val="32"/>
          <w:lang w:val="en-US" w:eastAsia="zh-CN" w:bidi="ar-SA"/>
        </w:rPr>
        <w:t>举办体育赛事活动，主办方和承办方应当根据筹办工作需要，做好下列保障工作：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（一）配备具有相应资格或资质的专业技术人员；</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（二）配置符合相关标准和要求的场地、器材和设施；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（三）严格落实通信、医疗、卫生、食品、交通、消防、安全保卫、应急救援、气象服务、生态保护等相关措施；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（四）做好志愿者招募、培训、保障和激励等工作。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体育赛事活动对参赛者身体条件有特殊要求的，主办方或承办方应当要求其提供符合体育赛事活动要求的身体状况证明，参赛者应当予以配合。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体育、教育等部门主办的体育赛事活动，应当购买公众责任保险。大型体育赛事活动组织者应当和参与者协商投保体育意外伤害保险。高危险性体育赛事活动组织者应当投保体育意外伤害保险。鼓励其他体育赛事活动组织者、参与者购买公众责任保险或意外伤害保险。</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 xml:space="preserve">第二十三条 </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kern w:val="2"/>
          <w:sz w:val="32"/>
          <w:szCs w:val="32"/>
          <w:lang w:val="en-US" w:eastAsia="zh-CN" w:bidi="ar-SA"/>
        </w:rPr>
        <w:t>主办方或承办方应当根据国家体育总局或全国性单项体育协会或自治区体育局有关裁判员管理规定，按照公开、公平、公正、择优原则确定体育赛事活动的裁判员。</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default" w:ascii="仿宋_GB2312" w:hAnsi="Calibri" w:eastAsia="仿宋_GB2312" w:cs="仿宋_GB2312"/>
          <w:color w:val="000000"/>
          <w:spacing w:val="0"/>
          <w:kern w:val="0"/>
          <w:sz w:val="32"/>
          <w:szCs w:val="32"/>
          <w:vertAlign w:val="baseline"/>
          <w:lang w:val="en-US" w:eastAsia="zh-CN" w:bidi="ar"/>
        </w:rPr>
      </w:pPr>
      <w:r>
        <w:rPr>
          <w:rFonts w:hint="eastAsia" w:asciiTheme="minorEastAsia" w:hAnsiTheme="minorEastAsia" w:eastAsiaTheme="minorEastAsia" w:cstheme="minorEastAsia"/>
          <w:b/>
          <w:bCs/>
          <w:color w:val="000000"/>
          <w:kern w:val="2"/>
          <w:sz w:val="32"/>
          <w:szCs w:val="32"/>
          <w:lang w:val="en-US" w:eastAsia="zh-CN" w:bidi="ar-SA"/>
        </w:rPr>
        <w:t>第二十四条</w:t>
      </w:r>
      <w:r>
        <w:rPr>
          <w:rFonts w:hint="eastAsia" w:ascii="仿宋_GB2312" w:hAnsi="仿宋_GB2312" w:eastAsia="仿宋_GB2312" w:cs="仿宋_GB2312"/>
          <w:color w:val="000000"/>
          <w:kern w:val="2"/>
          <w:sz w:val="32"/>
          <w:szCs w:val="32"/>
          <w:lang w:val="en-US" w:eastAsia="zh-CN" w:bidi="ar-SA"/>
        </w:rPr>
        <w:t xml:space="preserve">  </w:t>
      </w:r>
      <w:r>
        <w:rPr>
          <w:rFonts w:hint="default" w:ascii="仿宋_GB2312" w:hAnsi="Calibri" w:eastAsia="仿宋_GB2312" w:cs="仿宋_GB2312"/>
          <w:color w:val="000000"/>
          <w:spacing w:val="0"/>
          <w:kern w:val="0"/>
          <w:sz w:val="32"/>
          <w:szCs w:val="32"/>
          <w:vertAlign w:val="baseline"/>
          <w:lang w:val="en-US" w:eastAsia="zh-CN" w:bidi="ar"/>
        </w:rPr>
        <w:t>赛事活动需认证的，主办方应依照有关规定报请具有相应认证资质的单位或体育协会进行认证。</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第二十五条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kern w:val="2"/>
          <w:sz w:val="32"/>
          <w:szCs w:val="32"/>
          <w:lang w:val="en-US" w:eastAsia="zh-CN" w:bidi="ar-SA"/>
        </w:rPr>
        <w:t>体育、教育等部门应当提前通过网络或新闻媒体等途径向社会公开其主办的体育赛事活动相关信息。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鼓励和支持其他体育赛事活动主办方在体育赛事活动举办前，通过包括政府网站（主办方公众号等媒体）在内的多种途径，向社会公布竞赛规程，公开体育赛事活动的名称、时间、地点、主办方、承办方、协办方、参加办法、参赛条件及奖惩办法等基本信息。</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Theme="minorEastAsia" w:hAnsiTheme="minorEastAsia" w:eastAsiaTheme="minorEastAsia" w:cstheme="minorEastAsia"/>
          <w:b/>
          <w:bCs/>
          <w:color w:val="000000"/>
          <w:kern w:val="2"/>
          <w:sz w:val="32"/>
          <w:szCs w:val="32"/>
          <w:lang w:val="en-US" w:eastAsia="zh-CN" w:bidi="ar-SA"/>
        </w:rPr>
        <w:t>第二十六条</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kern w:val="2"/>
          <w:sz w:val="32"/>
          <w:szCs w:val="32"/>
          <w:lang w:val="en-US" w:eastAsia="zh-CN" w:bidi="ar-SA"/>
        </w:rPr>
        <w:t>建立体育赛事活动“熔断”机制。</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主办方、承办方、协办方等体育赛事活动组织者应当密切关注气象、水利、地震、自然资源、交通运输、卫生健康、应急管理等部门发出的预警信息及有关灾害、事故信息，遇有下列直接或可能与体育赛事活动举办相关联的突发情形之一的，应当及时启动“熔断”机制，中止比赛：</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自然灾害，包括水旱灾害、气象灾害、地震灾害、地质灾害、海洋灾害、生物灾害和森林草原火灾等。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事故灾难，包括各类安全事故、交通运输事故、公共体育设施和设备事故、环境污染和生态破坏事件等。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kern w:val="2"/>
          <w:sz w:val="32"/>
          <w:szCs w:val="32"/>
          <w:lang w:val="en-US" w:eastAsia="zh-CN" w:bidi="ar-SA"/>
        </w:rPr>
        <w:t>公共卫生事件，包括传染病疫情、群体性不明原因疾病、</w:t>
      </w:r>
      <w:r>
        <w:rPr>
          <w:rFonts w:hint="eastAsia" w:ascii="仿宋_GB2312" w:hAnsi="仿宋_GB2312" w:eastAsia="仿宋_GB2312" w:cs="仿宋_GB2312"/>
          <w:color w:val="000000" w:themeColor="text1"/>
          <w:sz w:val="32"/>
          <w:szCs w:val="32"/>
          <w:lang w:eastAsia="zh-CN"/>
          <w14:textFill>
            <w14:solidFill>
              <w14:schemeClr w14:val="tx1"/>
            </w14:solidFill>
          </w14:textFill>
        </w:rPr>
        <w:t>食品安全和职业危害、动物疫情以及其他严重影响公众健康和生命安全的事件等。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社会安全事件，包括恐怖袭击事件、经济安全事件和涉外突发事件等。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其他可能导致不再具备办赛条件的。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（二）体育赛事活动组织者无法判定是否启动“熔断”机制时，应当采取下列措施：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属全区性体育赛事活动的，赛事活动组织工作负责人或技术代表直接向自治区级赛事活动主办方报告，主办方赛事活动组委会应当立即作出是否中止比赛决定；属非全区性体育赛事活动的，赛事活动组织负责人或技术代表直接向属地市、县（区）体育、教育等部门报告，属地市、县（区）体育、教育等部门应当立即作出是否中止比赛的决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涉及重大体育赛事活动的，自治区、市、县（区）体育、教育等行政部门应当立即向同级人民政府报告，同级人民政府应立即作出是否中止比赛决定；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体育赛事活动组织者在不具备办赛条件时未中止赛事活动的，县级以上人民政府应当责令其立即中止。</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启动“熔断”机制后，体育赛事活动组织者和自治区、市、县（区）体育、教育等部门应当会同同级人民政府有关部门做好应急处置工作，疏散、撤离并妥善安置和救助现场人员，采取措施防范次生灾害和衍生事件发生，并及时发布相关信息，做好舆情引导。</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第二十七条</w:t>
      </w:r>
      <w:r>
        <w:rPr>
          <w:rFonts w:hint="eastAsia" w:ascii="仿宋_GB2312" w:hAnsi="仿宋_GB2312" w:eastAsia="仿宋_GB2312" w:cs="仿宋_GB2312"/>
          <w:color w:val="000000" w:themeColor="text1"/>
          <w:sz w:val="32"/>
          <w:szCs w:val="32"/>
          <w:lang w:eastAsia="zh-CN"/>
          <w14:textFill>
            <w14:solidFill>
              <w14:schemeClr w14:val="tx1"/>
            </w14:solidFill>
          </w14:textFill>
        </w:rPr>
        <w:t>　自然人、法人和非法人组织依法参与体育赛事活动，享有获得基本安全保障、赛事服务等权利。</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体育赛事活动主办方或承办方因办赛需要使用自然人、法人和非法人组织相关信息的，应当保障其信息安全，建立信息安全管理制度，不得违法使用或泄漏其相关信息。</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 xml:space="preserve">第二十八条  </w:t>
      </w:r>
      <w:r>
        <w:rPr>
          <w:rFonts w:hint="eastAsia" w:ascii="仿宋_GB2312" w:hAnsi="仿宋_GB2312" w:eastAsia="仿宋_GB2312" w:cs="仿宋_GB2312"/>
          <w:color w:val="000000" w:themeColor="text1"/>
          <w:sz w:val="32"/>
          <w:szCs w:val="32"/>
          <w:lang w:eastAsia="zh-CN"/>
          <w14:textFill>
            <w14:solidFill>
              <w14:schemeClr w14:val="tx1"/>
            </w14:solidFill>
          </w14:textFill>
        </w:rPr>
        <w:t>主办方和承办方应当会同赛事活动安保单位和属地公安部门加强观赛环境管理，维护赛场秩序，引导现场观众文明观赛，防止打架斗殴、拥挤踩踏等事件发生，防止不文明不健康、有侮辱性或谩骂性、破坏民族团结、分裂国家、反社会倾向等方面的言论、旗帜和标语出现，严禁携带危险品出入赛场。发现问题，应及时采取制止行为、终止赛事活动等处置措施。</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第二十九条</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无民事行为能力人或限制民事行为能力人参加体育赛事活动的，主办方或承办方应当告知其监护人相关风险并由监护人签署自甘风险承诺书。</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第三十条</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体育赛事活动有外籍人员参加的，主办方和承办方应当按照国家有关规定进行管理。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仿宋_GB2312" w:hAnsi="仿宋_GB2312" w:eastAsia="仿宋_GB2312" w:cs="仿宋_GB2312"/>
          <w:sz w:val="32"/>
          <w:szCs w:val="32"/>
          <w:shd w:val="clear" w:color="auto" w:fill="FFFFFF"/>
          <w:lang w:eastAsia="zh-CN"/>
        </w:rPr>
      </w:pPr>
      <w:r>
        <w:rPr>
          <w:rStyle w:val="8"/>
          <w:rFonts w:hint="eastAsia" w:ascii="黑体" w:hAnsi="黑体" w:eastAsia="黑体" w:cs="仿宋_GB2312"/>
          <w:b w:val="0"/>
          <w:sz w:val="32"/>
          <w:szCs w:val="32"/>
          <w:shd w:val="clear" w:color="auto" w:fill="FFFFFF"/>
          <w:lang w:eastAsia="zh-CN"/>
        </w:rPr>
        <w:t>第五章 监管和服务</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 xml:space="preserve">第三十一条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市、县（区）体育、教育等部门要发挥本行业领域体育赛事活动牵头协调作用，建立多部门工作协同机制，会同同级广电、网络信息管理、公安、市场监管、卫生健康、应急管理等部门加强对赛事活动安全监管，发现问题及时督促指导整改。广电部门要按照同级党委宣传部门要求加强宣传引导，弘扬体育精神、体育文化，讲好体育故事，营造良好氛围。网络信息管理部门要压实网络平台信息内容管理主体责任，做好舆情监测和紧急舆情处理；公安部门要依法做好赛事活动安全许可工作，组织、监督指导做好赛事活动安保工作，对违规举办的赛事活动依法从严查处；应急管理部门要配合做好突发事件应对工作，指导加强赛事应急预案管理；卫生健康部门要指导完善赛事医疗资源配置要求和参赛人员体检标准；市场监管部门要加强对赛事活动期间市场经营行为的监督，引导文化旅游、交通运输、住宿、餐饮、零售等企业诚信规范经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赛事活动主办方、承办方对赛事活动全链条全过程组织管理工作分别承担主体责任、直接责任。</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治区、市、县（区）单项体育协会对本项目赛事活动安全承担项目管理责任，应当加强行业自律，制定相关管理办法，明确本项目体育赛事活动组织的奖惩措施、信用管理、反兴奋剂工作等规范。加强对会员单位举办体育赛事活动的日常管理，提高其主办、承办、协办体育赛事活动的水平。</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第三十二条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赛事活动监管过程发现涉嫌不符合体育赛事活动条件、标准、规则等情形的，存在重大安全隐患的，或收到有关单位、个人提出相关建议、投诉、举报的，相关监管部门应当及时予以处理，向体育赛事活动主办方或承办方提出整改建议。</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第三十三条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自治区级单项体育协会应当充分发挥专业优势，加强体育赛事活动标准化、规范化建设，参照国家单项体育协会公布的体育赛事活动竞赛规则、办赛指南等赛事文件，制定出台自治区本项目体育赛事活动竞赛规则、办赛指南、参赛指引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办赛指南应当包括组织体育赛事活动的基本条件、标准规则以及对体育赛事活动组织者在服务保障方面的基本要求等内容。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参赛指引应当包括参加体育赛事活动的年龄、健康、资质等要求和条件，承诺遵守竞赛规程、服从赛会安排等参与体育赛事活动的基本要求和需要知悉运动风险的基本常识。高危险性体育赛事活动的参赛指引还应当包括参赛运动员训练年限、技术等级、比赛场次数量和体能测试指标等专项能力和身体素质要求。</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Style w:val="8"/>
          <w:rFonts w:hint="eastAsia" w:ascii="黑体" w:hAnsi="黑体" w:eastAsia="黑体" w:cs="仿宋_GB2312"/>
          <w:b w:val="0"/>
          <w:sz w:val="32"/>
          <w:szCs w:val="32"/>
          <w:shd w:val="clear" w:color="auto" w:fill="FFFFFF"/>
          <w:lang w:val="en-US" w:eastAsia="zh-CN"/>
        </w:rPr>
      </w:pPr>
      <w:r>
        <w:rPr>
          <w:rStyle w:val="8"/>
          <w:rFonts w:hint="eastAsia" w:ascii="黑体" w:hAnsi="黑体" w:eastAsia="黑体" w:cs="仿宋_GB2312"/>
          <w:b w:val="0"/>
          <w:sz w:val="32"/>
          <w:szCs w:val="32"/>
          <w:shd w:val="clear" w:color="auto" w:fill="FFFFFF"/>
          <w:lang w:val="en-US" w:eastAsia="zh-CN"/>
        </w:rPr>
        <w:t>第六章  商业化规范</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 xml:space="preserve">第三十四条 </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赛事活动组委会应当以公平竞赛为首要目标，结合赛事规模与水平，统筹做好赛事商业开发工作，提升赛事品牌价值与形象。</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第三十五条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赛事活动组委会应当明确赞助商权益的合理边界，加强对赛事官方赞助商合法权益的保护。赞助商不得直接或间接干预比赛和竞赛组织工作。</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第三十六条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赛事活动广告应当符合《广告法》相关要求，广告内容应积极健康，避免低俗化、庸俗化。赛道沿途广告及搭建方案应报相关部门备案，搭建设施应确保安全，广告张贴应符合城市户外广告宣传品展示要求。</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第三十七条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赛事活动组委会市场开发工作应当严格遵守国家法律法规，所有赛事活动严禁接受烟草类品牌赞助，任何酒类产品不能作为赛事冠名赞助商，且比赛过程中不得提供20度以上酒类产品。</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 xml:space="preserve">第三十八条 </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体育赛事活动的名称、标志、徽记、吉祥物、口号、举办权、赛事转播权和其他无形资产权利受法律保护，主办方和承办方可以进行市场开发依法依规获取相关收益，任何组织和个人不得侵犯。</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bidi="en-US"/>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未经体育赛事活动组织者等相关权利人许可，任何组织和个人不得以营利为目的采集或者传播体育赛事活动现场图片、音视频等信息。</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ascii="仿宋_GB2312" w:hAnsi="仿宋_GB2312" w:eastAsia="仿宋_GB2312" w:cs="仿宋_GB2312"/>
          <w:sz w:val="32"/>
          <w:szCs w:val="32"/>
          <w:highlight w:val="yellow"/>
          <w:lang w:eastAsia="zh-CN"/>
        </w:rPr>
      </w:pPr>
      <w:r>
        <w:rPr>
          <w:rStyle w:val="8"/>
          <w:rFonts w:hint="eastAsia" w:ascii="黑体" w:hAnsi="黑体" w:eastAsia="黑体" w:cs="仿宋_GB2312"/>
          <w:b w:val="0"/>
          <w:sz w:val="32"/>
          <w:szCs w:val="32"/>
          <w:shd w:val="clear" w:color="auto" w:fill="FFFFFF"/>
          <w:lang w:eastAsia="zh-CN"/>
        </w:rPr>
        <w:t>第七章  法律责任</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第三十九条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违反本办法规定的行为，有关法律、法规及规章已有处罚规定的，从其规定。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体育赛事活动组织者违反本办法规定，有下列情形之一的，由市、县（区）体育部门（或其委托的综合行政执法部门）责令改正，情节恶劣的，处以三万元以下罚款；属于非经营性体育赛事活动的，处以一千元以下罚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（一）不符合本办法第六条、第七条、第八条对体育赛事活动审批规定的；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（二）不符合本办法第九条对境外非政府组织在中国境内举办体育赛事活动规定的；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（三）不符合本办法第十一条对体育赛事活动名称规定的；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（四）造成人身财产伤害事故或重大不良社会影响的；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（五）其他侵犯其他自然人、法人或非法人组织合法权益的。</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第四十条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体育赛事活动组织者违反《体育法》规定，有下列行为之一的，由市、县（区）体育部门（或其委托的综合行政执法部门）责令改正，处五万元以上五十万元以下的罚款；有违法所得的，没收违法所得；情节严重的，给予一年以上三年以下禁止组织体育赛事活动的处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（一）未经许可举办高危险性体育赛事活动的；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（二）体育赛事活动因突发事件不具备办赛条件时，未及时中止的；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（三）安全条件不符合要求的；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（四）有违反体育道德和体育赛事规则，弄虚作假、营私舞弊等行为的；</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（五）未按要求采取风险防范及应急处置预案等保障措施的。</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第四十一条</w:t>
      </w:r>
      <w:r>
        <w:rPr>
          <w:rFonts w:hint="eastAsia" w:ascii="仿宋_GB2312" w:hAnsi="仿宋_GB2312" w:eastAsia="仿宋_GB2312" w:cs="仿宋_GB2312"/>
          <w:color w:val="000000" w:themeColor="text1"/>
          <w:sz w:val="32"/>
          <w:szCs w:val="32"/>
          <w:lang w:eastAsia="zh-CN"/>
          <w14:textFill>
            <w14:solidFill>
              <w14:schemeClr w14:val="tx1"/>
            </w14:solidFill>
          </w14:textFill>
        </w:rPr>
        <w:t>　体育赛事活动组织者及相关人员在体育赛事活动中的行为涉嫌欺诈或造成重大安全责任事故等情形的，体育部门应当配合公安、市场监管等行政部门依法依规处理，构成犯罪的依法追究刑事责任。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第四十二条</w:t>
      </w:r>
      <w:r>
        <w:rPr>
          <w:rFonts w:hint="eastAsia" w:ascii="仿宋_GB2312" w:hAnsi="仿宋_GB2312" w:eastAsia="仿宋_GB2312" w:cs="仿宋_GB2312"/>
          <w:color w:val="000000" w:themeColor="text1"/>
          <w:sz w:val="32"/>
          <w:szCs w:val="32"/>
          <w:lang w:eastAsia="zh-CN"/>
          <w14:textFill>
            <w14:solidFill>
              <w14:schemeClr w14:val="tx1"/>
            </w14:solidFill>
          </w14:textFill>
        </w:rPr>
        <w:t>　自治区、市、县（区）体育协会在开展体育赛事活动中有违法违规收费等行为的，由同级体育部门（或其委托的综合行政执法部门）责令改正，对负有直接责任的主管人员和其他责任人员依法依规依纪给予处分。</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第四十三条</w:t>
      </w:r>
      <w:r>
        <w:rPr>
          <w:rFonts w:hint="eastAsia" w:ascii="仿宋_GB2312" w:hAnsi="仿宋_GB2312" w:eastAsia="仿宋_GB2312" w:cs="仿宋_GB2312"/>
          <w:color w:val="000000" w:themeColor="text1"/>
          <w:sz w:val="32"/>
          <w:szCs w:val="32"/>
          <w:lang w:eastAsia="zh-CN"/>
          <w14:textFill>
            <w14:solidFill>
              <w14:schemeClr w14:val="tx1"/>
            </w14:solidFill>
          </w14:textFill>
        </w:rPr>
        <w:t>　国家机关及其工作人员在组织体育赛事活动时，有违反体育道德和体育赛事规则，弄虚作假、营私舞弊等行为的，由其所在单位、主管部门或者上级机关责令改正；对负有责任的领导人员和直接责任人员依法依规依纪给予处分。</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第四十四条</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运动员、教练员、裁判员在参加体育赛事活动中，违反《体育法》规定，有违反体育道德和体育赛事规则，弄虚作假、营私舞弊等行为的，由有关体育社会组织（体育赛事活动组织者）按照有关规定给予处理；情节严重、社会影响恶劣的，由自治区、市、县（区）体育部门纳入限制、禁止参加竞技体育活动名单；有违法所得的，没收违法所得，并处一万元以上十万元以下的罚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利用体育赛事从事赌博活动的，由公安机关依法查处。</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第四十五条</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运动员在体育赛事活动中违规使用兴奋剂的，由有关体育社会组织、运动员管理单位、体育赛事活动组织者作出取消参赛资格、取消比赛成绩或者禁赛等处理。</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第四十六条</w:t>
      </w:r>
      <w:r>
        <w:rPr>
          <w:rFonts w:hint="eastAsia" w:ascii="仿宋_GB2312" w:hAnsi="仿宋_GB2312" w:eastAsia="仿宋_GB2312" w:cs="仿宋_GB2312"/>
          <w:color w:val="000000" w:themeColor="text1"/>
          <w:sz w:val="32"/>
          <w:szCs w:val="32"/>
          <w:lang w:eastAsia="zh-CN"/>
          <w14:textFill>
            <w14:solidFill>
              <w14:schemeClr w14:val="tx1"/>
            </w14:solidFill>
          </w14:textFill>
        </w:rPr>
        <w:t>　自治区、市、县（区）体育、教育等部门应当建立健全体育赛事活动监管问责机制，对在体育赛事活动监管工作中有滥用职权、徇私舞弊、玩忽职守等行为的，或对体育赛事活动监管不力，造成人身伤害、财产损失等安全事故的，依法予以查处，对负有直接责任的主管人员和其他责任人员依法依规依纪给予处分，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第四十七条</w:t>
      </w:r>
      <w:r>
        <w:rPr>
          <w:rFonts w:hint="eastAsia" w:ascii="仿宋_GB2312" w:hAnsi="仿宋_GB2312" w:eastAsia="仿宋_GB2312" w:cs="仿宋_GB2312"/>
          <w:color w:val="000000" w:themeColor="text1"/>
          <w:sz w:val="32"/>
          <w:szCs w:val="32"/>
          <w:lang w:eastAsia="zh-CN"/>
          <w14:textFill>
            <w14:solidFill>
              <w14:schemeClr w14:val="tx1"/>
            </w14:solidFill>
          </w14:textFill>
        </w:rPr>
        <w:t>　自治区、市、县（区）体育部门应当会同相关部门建立体育赛事活动信用制度体系，将信用承诺履行情况纳入信用记录，开展信用评价，实施信用约束、联合惩戒。</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b/>
          <w:bCs/>
          <w:color w:val="000000"/>
          <w:kern w:val="2"/>
          <w:sz w:val="32"/>
          <w:szCs w:val="32"/>
          <w:lang w:val="en-US" w:eastAsia="zh-CN" w:bidi="ar-SA"/>
        </w:rPr>
        <w:t xml:space="preserve">第四十八条  </w:t>
      </w:r>
      <w:r>
        <w:rPr>
          <w:rFonts w:hint="eastAsia" w:ascii="仿宋_GB2312" w:hAnsi="仿宋_GB2312" w:eastAsia="仿宋_GB2312" w:cs="仿宋_GB2312"/>
          <w:color w:val="000000" w:themeColor="text1"/>
          <w:sz w:val="32"/>
          <w:szCs w:val="32"/>
          <w:lang w:eastAsia="zh-CN"/>
          <w14:textFill>
            <w14:solidFill>
              <w14:schemeClr w14:val="tx1"/>
            </w14:solidFill>
          </w14:textFill>
        </w:rPr>
        <w:t>对体育社会组织、体育赛事活动组织者作出的取消参赛资格、取消比赛成绩、禁赛等处理决定不服发生纠纷的，当事人可以根据体育组织章程、体育赛事规则或仲裁协议等申请救济或体育仲裁。相关机构应当及时、公正解决纠纷，保护体育赛事活动相关人员的合法权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sz w:val="32"/>
          <w:szCs w:val="32"/>
          <w:lang w:eastAsia="zh-CN"/>
        </w:rPr>
      </w:pPr>
      <w:r>
        <w:rPr>
          <w:rStyle w:val="8"/>
          <w:rFonts w:hint="eastAsia" w:ascii="黑体" w:hAnsi="黑体" w:eastAsia="黑体" w:cs="仿宋_GB2312"/>
          <w:b w:val="0"/>
          <w:sz w:val="32"/>
          <w:szCs w:val="32"/>
          <w:shd w:val="clear" w:color="auto" w:fill="FFFFFF"/>
          <w:lang w:eastAsia="zh-CN" w:bidi="ar-SA"/>
        </w:rPr>
        <w:t>第七章 附</w:t>
      </w:r>
      <w:r>
        <w:rPr>
          <w:rStyle w:val="8"/>
          <w:rFonts w:hint="eastAsia" w:ascii="黑体" w:hAnsi="黑体" w:eastAsia="黑体" w:cs="仿宋_GB2312"/>
          <w:b w:val="0"/>
          <w:sz w:val="32"/>
          <w:szCs w:val="32"/>
          <w:shd w:val="clear" w:color="auto" w:fill="FFFFFF"/>
          <w:lang w:val="en-US" w:eastAsia="zh-CN" w:bidi="ar-SA"/>
        </w:rPr>
        <w:t xml:space="preserve">  </w:t>
      </w:r>
      <w:r>
        <w:rPr>
          <w:rStyle w:val="8"/>
          <w:rFonts w:hint="eastAsia" w:ascii="黑体" w:hAnsi="黑体" w:eastAsia="黑体" w:cs="仿宋_GB2312"/>
          <w:b w:val="0"/>
          <w:sz w:val="32"/>
          <w:szCs w:val="32"/>
          <w:shd w:val="clear" w:color="auto" w:fill="FFFFFF"/>
          <w:lang w:eastAsia="zh-CN" w:bidi="ar-SA"/>
        </w:rPr>
        <w:t>则</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ascii="黑体" w:hAnsi="宋体" w:eastAsia="黑体" w:cs="黑体"/>
          <w:color w:val="000000"/>
          <w:spacing w:val="0"/>
          <w:kern w:val="0"/>
          <w:sz w:val="32"/>
          <w:szCs w:val="32"/>
          <w:vertAlign w:val="baseline"/>
          <w:lang w:val="en-US" w:eastAsia="zh-CN" w:bidi="ar"/>
        </w:rPr>
      </w:pPr>
      <w:r>
        <w:rPr>
          <w:rFonts w:hint="eastAsia" w:asciiTheme="minorEastAsia" w:hAnsiTheme="minorEastAsia" w:eastAsiaTheme="minorEastAsia" w:cstheme="minorEastAsia"/>
          <w:b/>
          <w:bCs/>
          <w:color w:val="000000"/>
          <w:kern w:val="2"/>
          <w:sz w:val="32"/>
          <w:szCs w:val="32"/>
          <w:lang w:val="en-US" w:eastAsia="zh-CN" w:bidi="ar-SA"/>
        </w:rPr>
        <w:t>第四十九条</w:t>
      </w:r>
      <w:r>
        <w:rPr>
          <w:rFonts w:hint="eastAsia" w:ascii="仿宋_GB2312" w:hAnsi="仿宋_GB2312" w:eastAsia="仿宋_GB2312" w:cs="仿宋_GB2312"/>
          <w:color w:val="000000" w:themeColor="text1"/>
          <w:sz w:val="32"/>
          <w:szCs w:val="32"/>
          <w:lang w:eastAsia="zh-CN"/>
          <w14:textFill>
            <w14:solidFill>
              <w14:schemeClr w14:val="tx1"/>
            </w14:solidFill>
          </w14:textFill>
        </w:rPr>
        <w:t>　本办法自202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日起施行。202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年1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月1日自治区体育局公布的《宁夏回族自治区体育赛事活动管理办法》同时废止。本办法由自治区体育局负责解释。</w:t>
      </w:r>
    </w:p>
    <w:sectPr>
      <w:footerReference r:id="rId3" w:type="default"/>
      <w:pgSz w:w="11906" w:h="16838"/>
      <w:pgMar w:top="1701" w:right="1474" w:bottom="1644"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3"/>
          <w:jc w:val="center"/>
        </w:pPr>
        <w:r>
          <w:fldChar w:fldCharType="begin"/>
        </w:r>
        <w:r>
          <w:instrText xml:space="preserve">PAGE   \* MERGEFORMAT</w:instrText>
        </w:r>
        <w:r>
          <w:fldChar w:fldCharType="separate"/>
        </w:r>
        <w:r>
          <w:rPr>
            <w:lang w:val="zh-CN" w:eastAsia="zh-CN"/>
          </w:rPr>
          <w:t>1</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F7745"/>
    <w:multiLevelType w:val="singleLevel"/>
    <w:tmpl w:val="D4DF7745"/>
    <w:lvl w:ilvl="0" w:tentative="0">
      <w:start w:val="4"/>
      <w:numFmt w:val="chineseCounting"/>
      <w:suff w:val="space"/>
      <w:lvlText w:val="第%1条"/>
      <w:lvlJc w:val="left"/>
      <w:rPr>
        <w:rFonts w:hint="eastAsia" w:ascii="宋体" w:hAnsi="宋体" w:eastAsia="宋体" w:cstheme="major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yNjhlZDUwZTQ0M2U3ODFhMTFhOTUzODhiZTAyOWIifQ=="/>
  </w:docVars>
  <w:rsids>
    <w:rsidRoot w:val="79BE5F4E"/>
    <w:rsid w:val="00017C97"/>
    <w:rsid w:val="00081D3A"/>
    <w:rsid w:val="000D4058"/>
    <w:rsid w:val="00150874"/>
    <w:rsid w:val="00162482"/>
    <w:rsid w:val="001C70DA"/>
    <w:rsid w:val="00213EFA"/>
    <w:rsid w:val="00282E20"/>
    <w:rsid w:val="002F7402"/>
    <w:rsid w:val="003908C4"/>
    <w:rsid w:val="00393340"/>
    <w:rsid w:val="003D7D6A"/>
    <w:rsid w:val="003E32C2"/>
    <w:rsid w:val="003F024B"/>
    <w:rsid w:val="00467A0A"/>
    <w:rsid w:val="00481013"/>
    <w:rsid w:val="00566431"/>
    <w:rsid w:val="005B14A4"/>
    <w:rsid w:val="00617485"/>
    <w:rsid w:val="00763516"/>
    <w:rsid w:val="007837B1"/>
    <w:rsid w:val="007D7E4E"/>
    <w:rsid w:val="007E05C0"/>
    <w:rsid w:val="008B1E3C"/>
    <w:rsid w:val="00915826"/>
    <w:rsid w:val="00955050"/>
    <w:rsid w:val="009B43E7"/>
    <w:rsid w:val="009C0122"/>
    <w:rsid w:val="009C03E1"/>
    <w:rsid w:val="00A3559F"/>
    <w:rsid w:val="00A5773B"/>
    <w:rsid w:val="00B93688"/>
    <w:rsid w:val="00BD61FC"/>
    <w:rsid w:val="00C6382D"/>
    <w:rsid w:val="00CF0016"/>
    <w:rsid w:val="00D01CAB"/>
    <w:rsid w:val="00D27565"/>
    <w:rsid w:val="00D60D66"/>
    <w:rsid w:val="00DB1264"/>
    <w:rsid w:val="00DD28B6"/>
    <w:rsid w:val="00E23CBF"/>
    <w:rsid w:val="00E43EE7"/>
    <w:rsid w:val="00E55F1A"/>
    <w:rsid w:val="00F51101"/>
    <w:rsid w:val="00FE5372"/>
    <w:rsid w:val="073360BD"/>
    <w:rsid w:val="0FEF8D83"/>
    <w:rsid w:val="163946DF"/>
    <w:rsid w:val="1B7E2F50"/>
    <w:rsid w:val="1DFEAC08"/>
    <w:rsid w:val="1FFCEE63"/>
    <w:rsid w:val="23DF3E40"/>
    <w:rsid w:val="2F5380B1"/>
    <w:rsid w:val="35FE1F53"/>
    <w:rsid w:val="376F54C5"/>
    <w:rsid w:val="39BA9E5E"/>
    <w:rsid w:val="3CEDED1F"/>
    <w:rsid w:val="3F3FC7FA"/>
    <w:rsid w:val="3F711379"/>
    <w:rsid w:val="434562C4"/>
    <w:rsid w:val="46212557"/>
    <w:rsid w:val="4F5427F4"/>
    <w:rsid w:val="4FC614FE"/>
    <w:rsid w:val="53FF6A77"/>
    <w:rsid w:val="56B51E99"/>
    <w:rsid w:val="57FE36F6"/>
    <w:rsid w:val="586D3262"/>
    <w:rsid w:val="5B845280"/>
    <w:rsid w:val="5BFE9DFC"/>
    <w:rsid w:val="5CC967B6"/>
    <w:rsid w:val="5F1F5E9F"/>
    <w:rsid w:val="5F279199"/>
    <w:rsid w:val="5FDE5B42"/>
    <w:rsid w:val="5FF9052F"/>
    <w:rsid w:val="5FFB7091"/>
    <w:rsid w:val="67046361"/>
    <w:rsid w:val="6A7B814A"/>
    <w:rsid w:val="6F7E7487"/>
    <w:rsid w:val="6FD78847"/>
    <w:rsid w:val="6FFF715A"/>
    <w:rsid w:val="77F393E9"/>
    <w:rsid w:val="79BE5F4E"/>
    <w:rsid w:val="79F5A75C"/>
    <w:rsid w:val="7ABF3672"/>
    <w:rsid w:val="7B755C9C"/>
    <w:rsid w:val="7B9521C3"/>
    <w:rsid w:val="7C254418"/>
    <w:rsid w:val="7CFFCA8E"/>
    <w:rsid w:val="7DEDFAE5"/>
    <w:rsid w:val="7DFCB6F3"/>
    <w:rsid w:val="7DFF3923"/>
    <w:rsid w:val="7E7BDF72"/>
    <w:rsid w:val="7EBFCCD3"/>
    <w:rsid w:val="7FBCA1B3"/>
    <w:rsid w:val="7FC72647"/>
    <w:rsid w:val="9FEF9CAF"/>
    <w:rsid w:val="B7DB3D41"/>
    <w:rsid w:val="BBAE88F3"/>
    <w:rsid w:val="BEBAA6D2"/>
    <w:rsid w:val="BFF2CE11"/>
    <w:rsid w:val="CDFF04A4"/>
    <w:rsid w:val="CF3BC295"/>
    <w:rsid w:val="D7FFC20B"/>
    <w:rsid w:val="D998E43E"/>
    <w:rsid w:val="DBF45EB3"/>
    <w:rsid w:val="DBF8E2FA"/>
    <w:rsid w:val="DBFE1556"/>
    <w:rsid w:val="DDFEC896"/>
    <w:rsid w:val="DEFFA534"/>
    <w:rsid w:val="DF2BA2BE"/>
    <w:rsid w:val="DFDD4C1D"/>
    <w:rsid w:val="E6DE5AC2"/>
    <w:rsid w:val="E6FDA6B8"/>
    <w:rsid w:val="E8F2421F"/>
    <w:rsid w:val="EF5EF10A"/>
    <w:rsid w:val="EF7ECF56"/>
    <w:rsid w:val="EF972225"/>
    <w:rsid w:val="EFFF85CF"/>
    <w:rsid w:val="F6A2FFFD"/>
    <w:rsid w:val="F6BFF841"/>
    <w:rsid w:val="F6FB468C"/>
    <w:rsid w:val="F77FED37"/>
    <w:rsid w:val="F7A79387"/>
    <w:rsid w:val="FAFD4594"/>
    <w:rsid w:val="FB6E6D2A"/>
    <w:rsid w:val="FB7FB630"/>
    <w:rsid w:val="FBE7AF79"/>
    <w:rsid w:val="FBFFE57B"/>
    <w:rsid w:val="FC9715BC"/>
    <w:rsid w:val="FCFCEA5E"/>
    <w:rsid w:val="FD5006CF"/>
    <w:rsid w:val="FD7A28AB"/>
    <w:rsid w:val="FD7F7276"/>
    <w:rsid w:val="FDDD65E7"/>
    <w:rsid w:val="FEF36058"/>
    <w:rsid w:val="FFB7D98C"/>
    <w:rsid w:val="FFBCAEEF"/>
    <w:rsid w:val="FFBF190E"/>
    <w:rsid w:val="FFDF1E9C"/>
    <w:rsid w:val="FFFEE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sz w:val="24"/>
      <w:szCs w:val="24"/>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unhideWhenUsed/>
    <w:qFormat/>
    <w:uiPriority w:val="99"/>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pPr>
    <w:rPr>
      <w:rFonts w:ascii="宋体" w:hAnsi="宋体" w:eastAsia="宋体" w:cs="宋体"/>
    </w:rPr>
  </w:style>
  <w:style w:type="character" w:styleId="8">
    <w:name w:val="Strong"/>
    <w:basedOn w:val="7"/>
    <w:qFormat/>
    <w:uiPriority w:val="0"/>
    <w:rPr>
      <w:b/>
    </w:rPr>
  </w:style>
  <w:style w:type="character" w:customStyle="1" w:styleId="9">
    <w:name w:val="页眉 字符"/>
    <w:basedOn w:val="7"/>
    <w:link w:val="4"/>
    <w:qFormat/>
    <w:uiPriority w:val="0"/>
    <w:rPr>
      <w:rFonts w:ascii="等线" w:hAnsi="等线" w:eastAsia="等线" w:cs="等线"/>
      <w:color w:val="000000"/>
      <w:sz w:val="18"/>
      <w:szCs w:val="18"/>
      <w:lang w:eastAsia="en-US" w:bidi="en-US"/>
    </w:rPr>
  </w:style>
  <w:style w:type="character" w:customStyle="1" w:styleId="10">
    <w:name w:val="批注框文本 字符"/>
    <w:basedOn w:val="7"/>
    <w:link w:val="2"/>
    <w:qFormat/>
    <w:uiPriority w:val="0"/>
    <w:rPr>
      <w:rFonts w:ascii="等线" w:hAnsi="等线" w:eastAsia="等线" w:cs="等线"/>
      <w:color w:val="000000"/>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Company>
  <Pages>1</Pages>
  <Words>9123</Words>
  <Characters>9138</Characters>
  <Lines>1</Lines>
  <Paragraphs>1</Paragraphs>
  <TotalTime>25</TotalTime>
  <ScaleCrop>false</ScaleCrop>
  <LinksUpToDate>false</LinksUpToDate>
  <CharactersWithSpaces>15148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2023-08-13T09:05:00Z</dcterms:created>
  <dc:creator>WPS_327027131</dc:creator>
  <cp:lastModifiedBy>huawei</cp:lastModifiedBy>
  <cp:lastPrinted>2024-07-06T11:18:00Z</cp:lastPrinted>
  <dcterms:modified xsi:type="dcterms:W3CDTF">2024-07-08T11:28:24Z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817D65DA032CFB66D5286966FEEA50C2</vt:lpwstr>
  </property>
</Properties>
</file>