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BB948D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年宁夏回族自治区青少年</w:t>
      </w:r>
    </w:p>
    <w:p w14:paraId="5B03B0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排球锦标赛竞赛规程</w:t>
      </w:r>
    </w:p>
    <w:p w14:paraId="7BFCE74A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rPr>
          <w:rFonts w:hint="eastAsia"/>
          <w:sz w:val="28"/>
          <w:szCs w:val="28"/>
        </w:rPr>
      </w:pPr>
    </w:p>
    <w:p w14:paraId="404C2B1F">
      <w:pPr>
        <w:keepNext w:val="0"/>
        <w:keepLines w:val="0"/>
        <w:pageBreakBefore w:val="0"/>
        <w:numPr>
          <w:ilvl w:val="0"/>
          <w:numId w:val="1"/>
        </w:numPr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z w:val="31"/>
          <w:szCs w:val="31"/>
        </w:rPr>
        <w:t>时间</w:t>
      </w:r>
      <w:r>
        <w:rPr>
          <w:rFonts w:hint="eastAsia" w:ascii="黑体" w:hAnsi="黑体" w:eastAsia="黑体" w:cs="黑体"/>
          <w:sz w:val="31"/>
          <w:szCs w:val="31"/>
          <w:lang w:eastAsia="zh-CN"/>
        </w:rPr>
        <w:t>、</w:t>
      </w:r>
      <w:r>
        <w:rPr>
          <w:rFonts w:hint="eastAsia" w:ascii="黑体" w:hAnsi="黑体" w:eastAsia="黑体" w:cs="黑体"/>
          <w:sz w:val="31"/>
          <w:szCs w:val="31"/>
        </w:rPr>
        <w:t>地点</w:t>
      </w:r>
    </w:p>
    <w:p w14:paraId="49D5091A">
      <w:pPr>
        <w:spacing w:line="540" w:lineRule="exact"/>
        <w:ind w:firstLine="640" w:firstLineChars="200"/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" w:eastAsia="仿宋_GB2312" w:cs="仿宋"/>
          <w:color w:val="000000" w:themeColor="text1"/>
          <w:kern w:val="2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2025年7月中下旬，甲组在银川市西夏区，乙组在青铜峡市，具体时间另行通知。</w:t>
      </w:r>
    </w:p>
    <w:p w14:paraId="7C4BF5E2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z w:val="31"/>
          <w:szCs w:val="31"/>
        </w:rPr>
        <w:t>二、参赛单位</w:t>
      </w:r>
    </w:p>
    <w:p w14:paraId="4FE671B8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/>
          <w:sz w:val="28"/>
          <w:szCs w:val="28"/>
        </w:rPr>
      </w:pPr>
      <w:r>
        <w:rPr>
          <w:rFonts w:hint="eastAsia" w:ascii="仿宋_GB2312" w:hAnsi="仿宋_GB2312" w:eastAsia="仿宋_GB2312" w:cs="仿宋_GB2312"/>
          <w:sz w:val="31"/>
          <w:szCs w:val="31"/>
        </w:rPr>
        <w:t>各市、县（区)、宁东管委会</w:t>
      </w:r>
    </w:p>
    <w:p w14:paraId="46502602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z w:val="31"/>
          <w:szCs w:val="31"/>
        </w:rPr>
        <w:t>三、竞赛组别与项目</w:t>
      </w:r>
    </w:p>
    <w:p w14:paraId="28E9D965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仿宋_GB2312" w:hAnsi="仿宋_GB2312" w:eastAsia="仿宋_GB2312" w:cs="仿宋_GB2312"/>
          <w:sz w:val="31"/>
          <w:szCs w:val="31"/>
        </w:rPr>
      </w:pPr>
      <w:r>
        <w:rPr>
          <w:rFonts w:hint="eastAsia" w:ascii="仿宋_GB2312" w:hAnsi="仿宋_GB2312" w:eastAsia="仿宋_GB2312" w:cs="仿宋_GB2312"/>
          <w:sz w:val="31"/>
          <w:szCs w:val="31"/>
        </w:rPr>
        <w:t>甲组:男子组、女子组</w:t>
      </w:r>
    </w:p>
    <w:p w14:paraId="3C230753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仿宋_GB2312" w:hAnsi="仿宋_GB2312" w:eastAsia="仿宋_GB2312" w:cs="仿宋_GB2312"/>
          <w:sz w:val="31"/>
          <w:szCs w:val="31"/>
        </w:rPr>
      </w:pPr>
      <w:r>
        <w:rPr>
          <w:rFonts w:hint="eastAsia" w:ascii="仿宋_GB2312" w:hAnsi="仿宋_GB2312" w:eastAsia="仿宋_GB2312" w:cs="仿宋_GB2312"/>
          <w:sz w:val="31"/>
          <w:szCs w:val="31"/>
        </w:rPr>
        <w:t>乙组:男子组、女子组</w:t>
      </w:r>
    </w:p>
    <w:p w14:paraId="30636567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仿宋_GB2312" w:hAnsi="仿宋_GB2312" w:eastAsia="仿宋_GB2312" w:cs="仿宋_GB2312"/>
          <w:sz w:val="31"/>
          <w:szCs w:val="31"/>
        </w:rPr>
      </w:pPr>
      <w:r>
        <w:rPr>
          <w:rFonts w:hint="eastAsia" w:ascii="黑体" w:hAnsi="黑体" w:eastAsia="黑体" w:cs="黑体"/>
          <w:sz w:val="31"/>
          <w:szCs w:val="31"/>
          <w:lang w:eastAsia="zh-CN"/>
        </w:rPr>
        <w:t>四、</w:t>
      </w:r>
      <w:r>
        <w:rPr>
          <w:rFonts w:hint="eastAsia" w:ascii="黑体" w:hAnsi="黑体" w:eastAsia="黑体" w:cs="黑体"/>
          <w:sz w:val="31"/>
          <w:szCs w:val="31"/>
        </w:rPr>
        <w:t>参加办法</w:t>
      </w:r>
    </w:p>
    <w:p w14:paraId="2E401075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（一）</w:t>
      </w:r>
      <w:r>
        <w:rPr>
          <w:rFonts w:hint="eastAsia" w:ascii="仿宋_GB2312" w:hAnsi="仿宋_GB2312" w:eastAsia="仿宋_GB2312" w:cs="仿宋_GB2312"/>
          <w:sz w:val="32"/>
          <w:szCs w:val="32"/>
        </w:rPr>
        <w:t>各单位报领队1人，每个代表队报教练员1人，每个队报运动员12人。</w:t>
      </w:r>
    </w:p>
    <w:p w14:paraId="23C45679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/>
        </w:rPr>
      </w:pPr>
      <w:r>
        <w:rPr>
          <w:rFonts w:hint="eastAsia" w:ascii="仿宋_GB2312" w:hAnsi="仿宋_GB2312" w:eastAsia="仿宋_GB2312" w:cs="仿宋_GB2312"/>
          <w:kern w:val="2"/>
          <w:sz w:val="32"/>
          <w:szCs w:val="32"/>
          <w:highlight w:val="none"/>
          <w:lang w:val="en-US" w:eastAsia="zh-CN"/>
        </w:rPr>
        <w:t>（二）运动员资格：</w:t>
      </w:r>
    </w:p>
    <w:p w14:paraId="772FB7E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20" w:lineRule="exact"/>
        <w:ind w:left="0" w:right="0"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" w:eastAsia="仿宋_GB2312" w:cs="仿宋"/>
          <w:kern w:val="2"/>
          <w:sz w:val="32"/>
          <w:szCs w:val="32"/>
          <w:highlight w:val="none"/>
          <w:lang w:val="en-US" w:eastAsia="zh-CN"/>
        </w:rPr>
        <w:t>运动员必须是具有宁夏户籍或学籍，年龄在18周岁（含）以下（2007年1月1日以后出生）的适龄青少年。外省户籍迁入宁夏的学生，户籍迁入时间须满3年（2022年4月30日前）；未取得宁夏户籍，学籍在宁须连续满3学年以上且在读（2022年4月30日前）。在全国其他省份已注册的运动员，不得参加本次赛事。</w:t>
      </w:r>
    </w:p>
    <w:p w14:paraId="4375660C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仿宋_GB2312" w:hAnsi="仿宋_GB2312" w:eastAsia="仿宋_GB2312" w:cs="仿宋_GB2312"/>
          <w:sz w:val="31"/>
          <w:szCs w:val="31"/>
        </w:rPr>
      </w:pPr>
      <w:r>
        <w:rPr>
          <w:rFonts w:hint="eastAsia" w:ascii="仿宋_GB2312" w:hAnsi="仿宋_GB2312" w:eastAsia="仿宋_GB2312" w:cs="仿宋_GB2312"/>
          <w:sz w:val="31"/>
          <w:szCs w:val="31"/>
          <w:lang w:eastAsia="zh-CN"/>
        </w:rPr>
        <w:t>（三）</w:t>
      </w:r>
      <w:r>
        <w:rPr>
          <w:rFonts w:hint="eastAsia" w:ascii="仿宋_GB2312" w:hAnsi="仿宋_GB2312" w:eastAsia="仿宋_GB2312" w:cs="仿宋_GB2312"/>
          <w:sz w:val="31"/>
          <w:szCs w:val="31"/>
        </w:rPr>
        <w:t>参赛年龄。</w:t>
      </w:r>
    </w:p>
    <w:p w14:paraId="4235743A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仿宋_GB2312" w:hAnsi="仿宋_GB2312" w:eastAsia="仿宋_GB2312" w:cs="仿宋_GB2312"/>
          <w:sz w:val="31"/>
          <w:szCs w:val="31"/>
        </w:rPr>
      </w:pPr>
      <w:r>
        <w:rPr>
          <w:rFonts w:hint="eastAsia" w:ascii="仿宋_GB2312" w:hAnsi="仿宋_GB2312" w:eastAsia="仿宋_GB2312" w:cs="仿宋_GB2312"/>
          <w:sz w:val="31"/>
          <w:szCs w:val="31"/>
        </w:rPr>
        <w:t>甲组:200</w:t>
      </w:r>
      <w:r>
        <w:rPr>
          <w:rFonts w:hint="eastAsia" w:ascii="仿宋_GB2312" w:hAnsi="仿宋_GB2312" w:eastAsia="仿宋_GB2312" w:cs="仿宋_GB2312"/>
          <w:sz w:val="31"/>
          <w:szCs w:val="31"/>
          <w:lang w:val="en-US" w:eastAsia="zh-CN"/>
        </w:rPr>
        <w:t>7</w:t>
      </w:r>
      <w:r>
        <w:rPr>
          <w:rFonts w:hint="eastAsia" w:ascii="仿宋_GB2312" w:hAnsi="仿宋_GB2312" w:eastAsia="仿宋_GB2312" w:cs="仿宋_GB2312"/>
          <w:sz w:val="31"/>
          <w:szCs w:val="31"/>
        </w:rPr>
        <w:t>年1月1日至 200</w:t>
      </w:r>
      <w:r>
        <w:rPr>
          <w:rFonts w:hint="eastAsia" w:ascii="仿宋_GB2312" w:hAnsi="仿宋_GB2312" w:eastAsia="仿宋_GB2312" w:cs="仿宋_GB2312"/>
          <w:sz w:val="31"/>
          <w:szCs w:val="31"/>
          <w:lang w:val="en-US" w:eastAsia="zh-CN"/>
        </w:rPr>
        <w:t>9</w:t>
      </w:r>
      <w:r>
        <w:rPr>
          <w:rFonts w:hint="eastAsia" w:ascii="仿宋_GB2312" w:hAnsi="仿宋_GB2312" w:eastAsia="仿宋_GB2312" w:cs="仿宋_GB2312"/>
          <w:sz w:val="31"/>
          <w:szCs w:val="31"/>
        </w:rPr>
        <w:t>年12月31日之间</w:t>
      </w:r>
    </w:p>
    <w:p w14:paraId="7909F745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仿宋_GB2312" w:hAnsi="仿宋_GB2312" w:eastAsia="仿宋_GB2312" w:cs="仿宋_GB2312"/>
          <w:sz w:val="31"/>
          <w:szCs w:val="31"/>
        </w:rPr>
      </w:pPr>
      <w:r>
        <w:rPr>
          <w:rFonts w:hint="eastAsia" w:ascii="仿宋_GB2312" w:hAnsi="仿宋_GB2312" w:eastAsia="仿宋_GB2312" w:cs="仿宋_GB2312"/>
          <w:sz w:val="31"/>
          <w:szCs w:val="31"/>
        </w:rPr>
        <w:t>乙组:20</w:t>
      </w:r>
      <w:r>
        <w:rPr>
          <w:rFonts w:hint="eastAsia" w:ascii="仿宋_GB2312" w:hAnsi="仿宋_GB2312" w:eastAsia="仿宋_GB2312" w:cs="仿宋_GB2312"/>
          <w:sz w:val="31"/>
          <w:szCs w:val="31"/>
          <w:lang w:val="en-US" w:eastAsia="zh-CN"/>
        </w:rPr>
        <w:t>10</w:t>
      </w:r>
      <w:r>
        <w:rPr>
          <w:rFonts w:hint="eastAsia" w:ascii="仿宋_GB2312" w:hAnsi="仿宋_GB2312" w:eastAsia="仿宋_GB2312" w:cs="仿宋_GB2312"/>
          <w:sz w:val="31"/>
          <w:szCs w:val="31"/>
        </w:rPr>
        <w:t>年1月1日以后出生的</w:t>
      </w:r>
    </w:p>
    <w:p w14:paraId="7A53FB8E">
      <w:pPr>
        <w:keepNext w:val="0"/>
        <w:keepLines w:val="0"/>
        <w:pageBreakBefore w:val="0"/>
        <w:numPr>
          <w:ilvl w:val="0"/>
          <w:numId w:val="0"/>
        </w:numPr>
        <w:wordWrap/>
        <w:overflowPunct/>
        <w:topLinePunct w:val="0"/>
        <w:bidi w:val="0"/>
        <w:spacing w:line="560" w:lineRule="exact"/>
        <w:ind w:firstLine="640" w:firstLineChars="200"/>
        <w:rPr>
          <w:rFonts w:hint="default" w:ascii="仿宋_GB2312" w:hAnsi="仿宋_GB2312" w:eastAsia="仿宋_GB2312" w:cs="仿宋_GB2312"/>
          <w:color w:val="FF0000"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（四）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本赛事运动员等级评定，执行国家体育总局《运动员技术等级标准》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体竞字〔2024〕121号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。所有参赛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评级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的运动员必须参加体能测试，体测项目和标准根据中国排球协会制定的运动员等级评定标准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执行，详情参照附件。</w:t>
      </w:r>
    </w:p>
    <w:p w14:paraId="181DAC49">
      <w:pPr>
        <w:keepNext w:val="0"/>
        <w:keepLines w:val="0"/>
        <w:pageBreakBefore w:val="0"/>
        <w:widowControl w:val="0"/>
        <w:suppressLineNumbers w:val="0"/>
        <w:wordWrap/>
        <w:overflowPunct/>
        <w:topLinePunct w:val="0"/>
        <w:bidi w:val="0"/>
        <w:spacing w:before="0" w:beforeAutospacing="0" w:after="0" w:afterAutospacing="0" w:line="540" w:lineRule="exact"/>
        <w:ind w:left="0" w:right="0" w:firstLine="640" w:firstLineChars="200"/>
        <w:jc w:val="left"/>
        <w:rPr>
          <w:rFonts w:hint="eastAsia" w:ascii="黑体" w:hAnsi="黑体" w:eastAsia="黑体"/>
          <w:color w:val="auto"/>
          <w:sz w:val="32"/>
          <w:szCs w:val="32"/>
        </w:rPr>
      </w:pPr>
      <w:r>
        <w:rPr>
          <w:rFonts w:hint="default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（</w:t>
      </w:r>
      <w:r>
        <w:rPr>
          <w:rFonts w:hint="eastAsia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五</w:t>
      </w:r>
      <w:r>
        <w:rPr>
          <w:rFonts w:hint="default" w:ascii="仿宋_GB2312" w:hAnsi="Times New Roman" w:eastAsia="仿宋_GB2312" w:cs="仿宋_GB2312"/>
          <w:kern w:val="2"/>
          <w:sz w:val="32"/>
          <w:szCs w:val="32"/>
          <w:lang w:val="en-US" w:eastAsia="zh-CN" w:bidi="ar"/>
        </w:rPr>
        <w:t>）所有参赛人员必须签署的《自愿参赛责任及风险告知书》（须教练员、运动员及监护人签字）和《赛风赛纪和反兴奋剂承诺书》。</w:t>
      </w:r>
    </w:p>
    <w:p w14:paraId="207DE67F">
      <w:pPr>
        <w:keepNext w:val="0"/>
        <w:keepLines w:val="0"/>
        <w:pageBreakBefore w:val="0"/>
        <w:wordWrap/>
        <w:overflowPunct/>
        <w:topLinePunct w:val="0"/>
        <w:bidi w:val="0"/>
        <w:spacing w:line="520" w:lineRule="exact"/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六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14:textFill>
            <w14:solidFill>
              <w14:schemeClr w14:val="tx1"/>
            </w14:solidFill>
          </w14:textFill>
        </w:rPr>
        <w:t>各参赛单位和运动员所有参赛费用自理</w:t>
      </w:r>
      <w:r>
        <w:rPr>
          <w:rFonts w:hint="eastAsia" w:ascii="仿宋_GB2312" w:hAnsi="仿宋_GB2312" w:eastAsia="仿宋_GB2312" w:cs="仿宋_GB2312"/>
          <w:color w:val="000000" w:themeColor="text1"/>
          <w:kern w:val="0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169E5DD1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z w:val="31"/>
          <w:szCs w:val="31"/>
        </w:rPr>
        <w:t>五、竞赛办法</w:t>
      </w:r>
    </w:p>
    <w:p w14:paraId="152D601B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(一)竞赛执行中国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排球协会</w:t>
      </w:r>
      <w:r>
        <w:rPr>
          <w:rFonts w:hint="eastAsia" w:ascii="仿宋_GB2312" w:hAnsi="仿宋_GB2312" w:eastAsia="仿宋_GB2312" w:cs="仿宋_GB2312"/>
          <w:sz w:val="32"/>
          <w:szCs w:val="32"/>
        </w:rPr>
        <w:t>审定的《2020-2024 排球竞赛规则》。</w:t>
      </w:r>
    </w:p>
    <w:p w14:paraId="223A8210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(二)比赛分为两个阶段，第一阶段进行小组循环赛，第二阶段进行交叉赛。</w:t>
      </w:r>
    </w:p>
    <w:p w14:paraId="4EE35B18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(三)比赛采用五局三胜、每球得分制。</w:t>
      </w:r>
    </w:p>
    <w:p w14:paraId="1085A94A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(四)小组循环赛决定名次计算办法。</w:t>
      </w:r>
    </w:p>
    <w:p w14:paraId="49AD85FE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1.计分方式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：</w:t>
      </w:r>
      <w:r>
        <w:rPr>
          <w:rFonts w:hint="eastAsia" w:ascii="仿宋_GB2312" w:hAnsi="仿宋_GB2312" w:eastAsia="仿宋_GB2312" w:cs="仿宋_GB2312"/>
          <w:sz w:val="32"/>
          <w:szCs w:val="32"/>
        </w:rPr>
        <w:t>比赛结果为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3-0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、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3-1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时，胜队积3分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32"/>
        </w:rPr>
        <w:t>负队积0分；比赛结果为 3-2 时，胜队积2分，负队积 1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分；积分高者排名在前。</w:t>
      </w:r>
    </w:p>
    <w:p w14:paraId="2D77DE28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2.</w:t>
      </w:r>
      <w:r>
        <w:rPr>
          <w:rFonts w:hint="eastAsia" w:ascii="仿宋_GB2312" w:hAnsi="仿宋_GB2312" w:eastAsia="仿宋_GB2312" w:cs="仿宋_GB2312"/>
          <w:sz w:val="32"/>
          <w:szCs w:val="32"/>
        </w:rPr>
        <w:t>当积分相等时，决定名次顺序为：1) 胜场多者；2) “C”值；3) “Z”值。</w:t>
      </w:r>
    </w:p>
    <w:p w14:paraId="74B27FC1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3.当两队Z值相等时，两队间最后一场比赛胜者排名在前；当三队或三队以上Z值相等时，则仅在该几队之间依次按照上述第2条决定名次办法1)、2)、3)决定。</w:t>
      </w:r>
    </w:p>
    <w:p w14:paraId="3EF639BA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(五)比赛用球：本次比赛使用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 xml:space="preserve"> </w:t>
      </w:r>
      <w:r>
        <w:rPr>
          <w:rFonts w:hint="eastAsia" w:ascii="仿宋_GB2312" w:hAnsi="仿宋_GB2312" w:eastAsia="仿宋_GB2312" w:cs="仿宋_GB2312"/>
          <w:sz w:val="32"/>
          <w:szCs w:val="32"/>
        </w:rPr>
        <w:t>Mikasa-V200W 排球。</w:t>
      </w:r>
    </w:p>
    <w:p w14:paraId="0C180B82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(六)每队须准备深浅不同颜色的两套比赛服(后排自由防守队员除外)，按规则要求印有明显的号码 1-20 号(胸前号码至少15厘米高，背后号码至少20厘米高)，队长服装胸前号码下要有队长标志。</w:t>
      </w:r>
    </w:p>
    <w:p w14:paraId="7BB694D5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(七)网高。</w:t>
      </w:r>
    </w:p>
    <w:p w14:paraId="171BC138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1.甲组：男子 2.43m，女子 2.24m。</w:t>
      </w:r>
    </w:p>
    <w:p w14:paraId="3C4A9E15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2.乙组：男子 2.35m，女子 2.15m。</w:t>
      </w:r>
    </w:p>
    <w:p w14:paraId="0F57DC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（八）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报名队数不足6队的项目将取消设项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各项目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前技术会议上确认参赛队不足6队的项目取消比赛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并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通报。</w:t>
      </w:r>
    </w:p>
    <w:p w14:paraId="4B9D2441">
      <w:pPr>
        <w:autoSpaceDE w:val="0"/>
        <w:autoSpaceDN w:val="0"/>
        <w:adjustRightInd w:val="0"/>
        <w:spacing w:line="560" w:lineRule="exact"/>
        <w:ind w:firstLine="645"/>
        <w:jc w:val="left"/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/>
        </w:rPr>
        <w:t>（九）本次比赛各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lang w:eastAsia="zh-CN"/>
        </w:rPr>
        <w:t>项目须至少有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  <w:lang w:val="en-US" w:eastAsia="zh-CN"/>
        </w:rPr>
        <w:t>9队上场比赛，方可授予等级称号</w:t>
      </w:r>
      <w:r>
        <w:rPr>
          <w:rFonts w:hint="eastAsia" w:ascii="仿宋_GB2312" w:hAnsi="仿宋_GB2312" w:eastAsia="仿宋_GB2312" w:cs="仿宋_GB2312"/>
          <w:color w:val="auto"/>
          <w:spacing w:val="-6"/>
          <w:sz w:val="32"/>
          <w:szCs w:val="32"/>
        </w:rPr>
        <w:t>。</w:t>
      </w:r>
    </w:p>
    <w:p w14:paraId="32C319EE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40" w:firstLineChars="200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kern w:val="2"/>
          <w:sz w:val="32"/>
          <w:szCs w:val="32"/>
          <w:lang w:eastAsia="zh-CN"/>
        </w:rPr>
        <w:t>（十）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比赛期间，将对参赛运动员进行兴奋剂抽检。</w:t>
      </w:r>
    </w:p>
    <w:p w14:paraId="1FE05880">
      <w:pPr>
        <w:keepNext w:val="0"/>
        <w:keepLines w:val="0"/>
        <w:pageBreakBefore w:val="0"/>
        <w:wordWrap/>
        <w:overflowPunct/>
        <w:topLinePunct w:val="0"/>
        <w:bidi w:val="0"/>
        <w:spacing w:line="560" w:lineRule="exact"/>
        <w:ind w:firstLine="620" w:firstLineChars="200"/>
        <w:rPr>
          <w:rFonts w:hint="eastAsia" w:ascii="黑体" w:hAnsi="黑体" w:eastAsia="黑体" w:cs="黑体"/>
          <w:sz w:val="31"/>
          <w:szCs w:val="31"/>
        </w:rPr>
      </w:pPr>
      <w:r>
        <w:rPr>
          <w:rFonts w:hint="eastAsia" w:ascii="黑体" w:hAnsi="黑体" w:eastAsia="黑体" w:cs="黑体"/>
          <w:sz w:val="31"/>
          <w:szCs w:val="31"/>
        </w:rPr>
        <w:t>六、录取名次</w:t>
      </w:r>
    </w:p>
    <w:p w14:paraId="5B2FC6F1">
      <w:pPr>
        <w:spacing w:line="560" w:lineRule="exact"/>
        <w:ind w:firstLine="640" w:firstLineChars="200"/>
        <w:rPr>
          <w:rFonts w:hint="eastAsia" w:ascii="仿宋_GB2312" w:eastAsia="仿宋_GB2312"/>
          <w:color w:val="FF0000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（一）各项目比赛参加12人（队）以上的项目，均奖励前八名；参加8-11人（队）的项目，奖励前六名；参加6-7人（队）的项目，奖励前三名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。</w:t>
      </w:r>
    </w:p>
    <w:p w14:paraId="671F75E8">
      <w:pPr>
        <w:keepNext w:val="0"/>
        <w:keepLines w:val="0"/>
        <w:pageBreakBefore w:val="0"/>
        <w:wordWrap/>
        <w:overflowPunct/>
        <w:topLinePunct w:val="0"/>
        <w:autoSpaceDE w:val="0"/>
        <w:autoSpaceDN w:val="0"/>
        <w:bidi w:val="0"/>
        <w:adjustRightInd w:val="0"/>
        <w:spacing w:line="560" w:lineRule="exact"/>
        <w:ind w:firstLine="640" w:firstLineChars="200"/>
        <w:jc w:val="left"/>
        <w:rPr>
          <w:rFonts w:ascii="仿宋_GB2312" w:hAnsi="仿宋" w:eastAsia="仿宋_GB2312" w:cs="仿宋"/>
          <w:bCs/>
          <w:color w:val="FF0000"/>
          <w:sz w:val="32"/>
          <w:szCs w:val="32"/>
        </w:rPr>
      </w:pPr>
      <w:r>
        <w:rPr>
          <w:rFonts w:hint="eastAsia" w:ascii="仿宋_GB2312" w:eastAsia="仿宋_GB2312"/>
          <w:color w:val="FF0000"/>
          <w:sz w:val="32"/>
          <w:szCs w:val="32"/>
        </w:rPr>
        <w:t>（</w:t>
      </w:r>
      <w:r>
        <w:rPr>
          <w:rFonts w:hint="eastAsia" w:ascii="仿宋_GB2312" w:eastAsia="仿宋_GB2312"/>
          <w:color w:val="FF0000"/>
          <w:sz w:val="32"/>
          <w:szCs w:val="32"/>
          <w:lang w:eastAsia="zh-CN"/>
        </w:rPr>
        <w:t>二</w:t>
      </w:r>
      <w:r>
        <w:rPr>
          <w:rFonts w:hint="eastAsia" w:ascii="仿宋_GB2312" w:eastAsia="仿宋_GB2312"/>
          <w:color w:val="FF0000"/>
          <w:sz w:val="32"/>
          <w:szCs w:val="32"/>
        </w:rPr>
        <w:t>）各组</w:t>
      </w:r>
      <w:r>
        <w:rPr>
          <w:rFonts w:hint="eastAsia" w:ascii="仿宋_GB2312" w:hAnsi="仿宋" w:eastAsia="仿宋_GB2312" w:cs="仿宋"/>
          <w:bCs/>
          <w:color w:val="FF0000"/>
          <w:sz w:val="32"/>
          <w:szCs w:val="32"/>
        </w:rPr>
        <w:t>前</w:t>
      </w:r>
      <w:r>
        <w:rPr>
          <w:rFonts w:hint="eastAsia" w:ascii="仿宋_GB2312" w:hAnsi="仿宋" w:eastAsia="仿宋_GB2312" w:cs="仿宋"/>
          <w:bCs/>
          <w:color w:val="FF0000"/>
          <w:sz w:val="32"/>
          <w:szCs w:val="32"/>
          <w:lang w:val="en-US" w:eastAsia="zh-CN"/>
        </w:rPr>
        <w:t>12</w:t>
      </w:r>
      <w:r>
        <w:rPr>
          <w:rFonts w:hint="eastAsia" w:ascii="仿宋_GB2312" w:hAnsi="仿宋" w:eastAsia="仿宋_GB2312" w:cs="仿宋"/>
          <w:bCs/>
          <w:color w:val="FF0000"/>
          <w:sz w:val="32"/>
          <w:szCs w:val="32"/>
        </w:rPr>
        <w:t>名</w:t>
      </w:r>
      <w:r>
        <w:rPr>
          <w:rFonts w:hint="eastAsia" w:ascii="仿宋_GB2312" w:hAnsi="仿宋" w:eastAsia="仿宋_GB2312" w:cs="仿宋"/>
          <w:bCs/>
          <w:color w:val="FF0000"/>
          <w:sz w:val="32"/>
          <w:szCs w:val="32"/>
          <w:lang w:eastAsia="zh-CN"/>
        </w:rPr>
        <w:t>代表队获得</w:t>
      </w:r>
      <w:r>
        <w:rPr>
          <w:rFonts w:hint="eastAsia" w:ascii="仿宋_GB2312" w:hAnsi="仿宋" w:eastAsia="仿宋_GB2312" w:cs="仿宋"/>
          <w:bCs/>
          <w:color w:val="FF0000"/>
          <w:sz w:val="32"/>
          <w:szCs w:val="32"/>
          <w:lang w:val="en-US" w:eastAsia="zh-CN"/>
        </w:rPr>
        <w:t>自治区第十七届运动会决赛资格</w:t>
      </w:r>
      <w:r>
        <w:rPr>
          <w:rFonts w:hint="eastAsia" w:ascii="仿宋_GB2312" w:hAnsi="仿宋" w:eastAsia="仿宋_GB2312" w:cs="仿宋"/>
          <w:bCs/>
          <w:color w:val="FF0000"/>
          <w:sz w:val="32"/>
          <w:szCs w:val="32"/>
        </w:rPr>
        <w:t>。</w:t>
      </w:r>
    </w:p>
    <w:p w14:paraId="7CD1EE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（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运动员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获得各项目比赛前3名的，向其1名主管教练员颁发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获奖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证书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，获得名次的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颁发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成绩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证书。</w:t>
      </w:r>
    </w:p>
    <w:p w14:paraId="1A28D44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eastAsia="zh-CN"/>
        </w:rPr>
        <w:t>（四）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体育道德风尚奖执行《202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  <w:lang w:val="en-US" w:eastAsia="zh-CN"/>
        </w:rPr>
        <w:t>5</w:t>
      </w: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年宁夏回族自治区青少年锦标赛体育道德风尚奖评选办法》。</w:t>
      </w:r>
    </w:p>
    <w:p w14:paraId="1285340F">
      <w:pPr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left="37" w:right="86" w:firstLine="640" w:firstLineChars="200"/>
        <w:jc w:val="left"/>
        <w:textAlignment w:val="baseline"/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七、报名和报到</w:t>
      </w:r>
    </w:p>
    <w:p w14:paraId="245F505B">
      <w:pPr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（一）报名</w:t>
      </w:r>
    </w:p>
    <w:p w14:paraId="0291A7E3">
      <w:pPr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第一次报名截止时间为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31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日，各单位报参加项目和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人数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。第二次报名截止日期为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4月30日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，各单位报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val="en-US" w:eastAsia="zh-CN"/>
        </w:rPr>
        <w:t>最终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具体参加项目和人员名单。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报名表须单位负责人签字、加盖参赛单位印章，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纸质</w:t>
      </w:r>
      <w:r>
        <w:rPr>
          <w:rFonts w:hint="eastAsia" w:ascii="仿宋_GB2312" w:hAnsi="仿宋_GB2312" w:eastAsia="仿宋_GB2312" w:cs="仿宋_GB2312"/>
          <w:sz w:val="32"/>
          <w:szCs w:val="32"/>
        </w:rPr>
        <w:t>一式两份和电子版一并报自治区体育局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青少年体育处（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149983484@qq.com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）审核、</w:t>
      </w:r>
      <w:r>
        <w:rPr>
          <w:rFonts w:hint="eastAsia" w:ascii="仿宋_GB2312" w:hAnsi="仿宋_GB2312" w:eastAsia="仿宋_GB2312" w:cs="仿宋_GB2312"/>
          <w:sz w:val="32"/>
          <w:szCs w:val="32"/>
        </w:rPr>
        <w:t>备案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，逾期不予受理。</w:t>
      </w:r>
      <w:r>
        <w:rPr>
          <w:rFonts w:hint="eastAsia" w:ascii="仿宋_GB2312" w:hAnsi="仿宋_GB2312" w:eastAsia="仿宋_GB2312" w:cs="仿宋_GB2312"/>
          <w:sz w:val="32"/>
          <w:szCs w:val="32"/>
        </w:rPr>
        <w:t>报名后，无故不参加比赛者，取消参赛单位各种评优评先资格。</w:t>
      </w:r>
    </w:p>
    <w:p w14:paraId="55C0EE90">
      <w:pPr>
        <w:pageBreakBefore w:val="0"/>
        <w:wordWrap/>
        <w:overflowPunct/>
        <w:topLinePunct w:val="0"/>
        <w:bidi w:val="0"/>
        <w:spacing w:line="560" w:lineRule="exact"/>
        <w:ind w:left="70" w:right="87" w:firstLine="599"/>
        <w:jc w:val="left"/>
        <w:textAlignment w:val="auto"/>
        <w:rPr>
          <w:rFonts w:ascii="方正楷体_GBK" w:hAnsi="方正楷体_GBK" w:eastAsia="方正楷体_GBK" w:cs="方正楷体_GBK"/>
          <w:sz w:val="32"/>
          <w:szCs w:val="32"/>
        </w:rPr>
      </w:pPr>
      <w:r>
        <w:rPr>
          <w:rFonts w:hint="eastAsia" w:ascii="方正楷体_GBK" w:hAnsi="方正楷体_GBK" w:eastAsia="方正楷体_GBK" w:cs="方正楷体_GBK"/>
          <w:sz w:val="32"/>
          <w:szCs w:val="32"/>
        </w:rPr>
        <w:t>（二）报到</w:t>
      </w:r>
    </w:p>
    <w:p w14:paraId="676F6CD3">
      <w:pPr>
        <w:pageBreakBefore w:val="0"/>
        <w:tabs>
          <w:tab w:val="left" w:pos="193"/>
        </w:tabs>
        <w:wordWrap/>
        <w:overflowPunct/>
        <w:topLinePunct w:val="0"/>
        <w:bidi w:val="0"/>
        <w:spacing w:line="560" w:lineRule="exact"/>
        <w:ind w:left="36" w:firstLine="653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1.报到时，须提供县级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或</w:t>
      </w:r>
      <w:r>
        <w:rPr>
          <w:rFonts w:hint="eastAsia" w:ascii="仿宋_GB2312" w:hAnsi="仿宋_GB2312" w:eastAsia="仿宋_GB2312" w:cs="仿宋_GB2312"/>
          <w:sz w:val="32"/>
          <w:szCs w:val="32"/>
        </w:rPr>
        <w:t>以上医疗机构身体健康体检表(包括心电图)、意外伤害保险单(含比赛期间及往返途中，保额应不低于人民币10万元)、参赛承诺书（须教练员、运动员及监护人签字）、反兴奋剂教育准入合格证（参赛运动员、教练员、队医）的复印件，原件由参赛单位留存备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；</w:t>
      </w:r>
    </w:p>
    <w:p w14:paraId="2F7040A8">
      <w:pPr>
        <w:pageBreakBefore w:val="0"/>
        <w:wordWrap/>
        <w:overflowPunct/>
        <w:topLinePunct w:val="0"/>
        <w:bidi w:val="0"/>
        <w:spacing w:line="560" w:lineRule="exact"/>
        <w:ind w:left="44" w:right="90" w:firstLine="625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2.参赛时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须</w:t>
      </w:r>
      <w:r>
        <w:rPr>
          <w:rFonts w:hint="eastAsia" w:ascii="仿宋_GB2312" w:hAnsi="仿宋_GB2312" w:eastAsia="仿宋_GB2312" w:cs="仿宋_GB2312"/>
          <w:sz w:val="32"/>
          <w:szCs w:val="32"/>
        </w:rPr>
        <w:t>缴验《运动员注册证》和二代身份证原件，不合格者不能参赛；</w:t>
      </w:r>
    </w:p>
    <w:p w14:paraId="64ED5FAD">
      <w:pPr>
        <w:pageBreakBefore w:val="0"/>
        <w:wordWrap/>
        <w:overflowPunct/>
        <w:topLinePunct w:val="0"/>
        <w:bidi w:val="0"/>
        <w:spacing w:line="560" w:lineRule="exact"/>
        <w:ind w:left="38" w:right="90" w:firstLine="633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3.各队报到时，须交纳参赛保证金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1</w:t>
      </w:r>
      <w:r>
        <w:rPr>
          <w:rFonts w:hint="eastAsia" w:ascii="仿宋_GB2312" w:hAnsi="仿宋_GB2312" w:eastAsia="仿宋_GB2312" w:cs="仿宋_GB2312"/>
          <w:sz w:val="32"/>
          <w:szCs w:val="32"/>
        </w:rPr>
        <w:t>000元，比赛中如无违纪行为，赛后全部退回；</w:t>
      </w:r>
    </w:p>
    <w:p w14:paraId="15B5978C">
      <w:pPr>
        <w:pageBreakBefore w:val="0"/>
        <w:wordWrap/>
        <w:overflowPunct/>
        <w:topLinePunct w:val="0"/>
        <w:bidi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4.裁判长和裁判员赛前2日报到，代表队赛前1日报到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。</w:t>
      </w:r>
    </w:p>
    <w:p w14:paraId="3B743A5F">
      <w:pPr>
        <w:pageBreakBefore w:val="0"/>
        <w:wordWrap/>
        <w:overflowPunct/>
        <w:topLinePunct w:val="0"/>
        <w:bidi w:val="0"/>
        <w:spacing w:line="560" w:lineRule="exact"/>
        <w:ind w:left="667"/>
        <w:jc w:val="left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八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、仲裁委员会和裁判员</w:t>
      </w:r>
    </w:p>
    <w:p w14:paraId="6485B91C">
      <w:pPr>
        <w:pageBreakBefore w:val="0"/>
        <w:wordWrap/>
        <w:overflowPunct/>
        <w:topLinePunct w:val="0"/>
        <w:bidi w:val="0"/>
        <w:spacing w:line="560" w:lineRule="exact"/>
        <w:ind w:firstLine="640" w:firstLineChars="200"/>
        <w:jc w:val="left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（一）比赛的技术代表、仲裁委员、比赛监督、裁判长、裁判员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、兴奋剂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检查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官</w:t>
      </w:r>
      <w:r>
        <w:rPr>
          <w:rFonts w:hint="eastAsia" w:ascii="仿宋_GB2312" w:hAnsi="仿宋_GB2312" w:eastAsia="仿宋_GB2312" w:cs="仿宋_GB2312"/>
          <w:sz w:val="32"/>
          <w:szCs w:val="32"/>
        </w:rPr>
        <w:t>等由自治区体育局统一选调；</w:t>
      </w:r>
    </w:p>
    <w:p w14:paraId="036DC4D6">
      <w:pPr>
        <w:pageBreakBefore w:val="0"/>
        <w:wordWrap/>
        <w:overflowPunct/>
        <w:topLinePunct w:val="0"/>
        <w:bidi w:val="0"/>
        <w:spacing w:line="560" w:lineRule="exact"/>
        <w:ind w:left="38" w:right="113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（二）仲裁委员会组成和职责范围按国家体育总局《仲裁委员会条例》执行；</w:t>
      </w:r>
    </w:p>
    <w:p w14:paraId="51AF736C">
      <w:pPr>
        <w:pageBreakBefore w:val="0"/>
        <w:wordWrap/>
        <w:overflowPunct/>
        <w:topLinePunct w:val="0"/>
        <w:bidi w:val="0"/>
        <w:spacing w:line="560" w:lineRule="exact"/>
        <w:ind w:left="38" w:right="111" w:firstLine="640" w:firstLineChars="200"/>
        <w:jc w:val="left"/>
        <w:textAlignment w:val="auto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（三）对比赛结果有异议者，须在本场比赛结束后30分钟内，由领队或教练员向仲裁委员会提出书面申诉，同时交纳申诉费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20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00元。如申诉成功，退回申诉费，如申诉驳回，不予退还申诉费。</w:t>
      </w:r>
    </w:p>
    <w:p w14:paraId="5FB4E725">
      <w:pPr>
        <w:pageBreakBefore w:val="0"/>
        <w:wordWrap/>
        <w:overflowPunct/>
        <w:topLinePunct w:val="0"/>
        <w:bidi w:val="0"/>
        <w:spacing w:line="560" w:lineRule="exact"/>
        <w:ind w:left="674"/>
        <w:jc w:val="left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  <w:lang w:eastAsia="zh-CN"/>
        </w:rPr>
        <w:t>九</w:t>
      </w:r>
      <w:r>
        <w:rPr>
          <w:rFonts w:hint="eastAsia" w:ascii="方正黑体_GBK" w:hAnsi="方正黑体_GBK" w:eastAsia="方正黑体_GBK" w:cs="方正黑体_GBK"/>
          <w:sz w:val="32"/>
          <w:szCs w:val="32"/>
        </w:rPr>
        <w:t>、</w:t>
      </w:r>
      <w:r>
        <w:rPr>
          <w:rFonts w:hint="eastAsia" w:ascii="黑体" w:hAnsi="黑体" w:eastAsia="黑体" w:cs="微软雅黑"/>
          <w:color w:val="000000"/>
          <w:sz w:val="32"/>
          <w:szCs w:val="32"/>
        </w:rPr>
        <w:t>兴奋剂及</w:t>
      </w:r>
      <w:r>
        <w:rPr>
          <w:rFonts w:ascii="黑体" w:hAnsi="黑体" w:eastAsia="黑体" w:cs="微软雅黑"/>
          <w:color w:val="000000"/>
          <w:sz w:val="32"/>
          <w:szCs w:val="32"/>
        </w:rPr>
        <w:t>赛</w:t>
      </w:r>
      <w:r>
        <w:rPr>
          <w:rFonts w:hint="eastAsia" w:ascii="黑体" w:hAnsi="黑体" w:eastAsia="黑体" w:cs="微软雅黑"/>
          <w:color w:val="000000"/>
          <w:sz w:val="32"/>
          <w:szCs w:val="32"/>
        </w:rPr>
        <w:t>风</w:t>
      </w:r>
      <w:r>
        <w:rPr>
          <w:rFonts w:ascii="黑体" w:hAnsi="黑体" w:eastAsia="黑体" w:cs="微软雅黑"/>
          <w:color w:val="000000"/>
          <w:sz w:val="32"/>
          <w:szCs w:val="32"/>
        </w:rPr>
        <w:t>赛</w:t>
      </w:r>
      <w:r>
        <w:rPr>
          <w:rFonts w:hint="eastAsia" w:ascii="黑体" w:hAnsi="黑体" w:eastAsia="黑体" w:cs="微软雅黑"/>
          <w:color w:val="000000"/>
          <w:sz w:val="32"/>
          <w:szCs w:val="32"/>
        </w:rPr>
        <w:t>纪</w:t>
      </w:r>
    </w:p>
    <w:p w14:paraId="58839C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（一）兴奋剂违规处罚按《反兴奋剂条例》《宁夏回族自治区反兴奋剂管理办法》有关规定执行。</w:t>
      </w:r>
    </w:p>
    <w:p w14:paraId="2AB0EF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（二）加强反兴奋剂教育工作，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参加比赛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的运动员、教练员、工作人员等，按照要求参加反兴奋剂学习培训，通过反兴奋剂线上教育考试获得反兴奋剂教育准入合格证书。</w:t>
      </w:r>
    </w:p>
    <w:p w14:paraId="0A4BFF4A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5"/>
        <w:jc w:val="left"/>
        <w:textAlignment w:val="auto"/>
        <w:rPr>
          <w:rFonts w:hint="eastAsia" w:ascii="仿宋_GB2312" w:hAnsi="仿宋_GB2312" w:eastAsia="仿宋_GB2312" w:cs="仿宋_GB2312"/>
          <w:color w:val="auto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（三）在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比赛期间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各参赛单位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  <w:lang w:eastAsia="zh-CN"/>
        </w:rPr>
        <w:t>工作</w:t>
      </w:r>
      <w:r>
        <w:rPr>
          <w:rFonts w:hint="eastAsia" w:ascii="仿宋_GB2312" w:hAnsi="仿宋_GB2312" w:eastAsia="仿宋_GB2312" w:cs="仿宋_GB2312"/>
          <w:color w:val="auto"/>
          <w:sz w:val="32"/>
          <w:szCs w:val="32"/>
        </w:rPr>
        <w:t>人员出现赛风赛纪问题，取消该参赛单位体育道德风尚奖评选资格，取消该参赛单位相应大项或分项参赛资格。</w:t>
      </w:r>
    </w:p>
    <w:p w14:paraId="208446DF">
      <w:pPr>
        <w:pageBreakBefore w:val="0"/>
        <w:wordWrap/>
        <w:overflowPunct/>
        <w:topLinePunct w:val="0"/>
        <w:bidi w:val="0"/>
        <w:spacing w:line="560" w:lineRule="exact"/>
        <w:ind w:left="671"/>
        <w:jc w:val="left"/>
        <w:textAlignment w:val="auto"/>
        <w:rPr>
          <w:rFonts w:ascii="方正黑体_GBK" w:hAnsi="方正黑体_GBK" w:eastAsia="方正黑体_GBK" w:cs="方正黑体_GBK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sz w:val="32"/>
          <w:szCs w:val="32"/>
        </w:rPr>
        <w:t>十、</w:t>
      </w:r>
      <w:r>
        <w:rPr>
          <w:rFonts w:hint="eastAsia" w:ascii="方正黑体_GBK" w:hAnsi="方正黑体_GBK" w:eastAsia="方正黑体_GBK" w:cs="方正黑体_GBK"/>
          <w:color w:val="3E3E3E"/>
          <w:sz w:val="32"/>
          <w:szCs w:val="32"/>
        </w:rPr>
        <w:t>安全管理</w:t>
      </w:r>
    </w:p>
    <w:p w14:paraId="224B2BAC">
      <w:pPr>
        <w:pageBreakBefore w:val="0"/>
        <w:wordWrap/>
        <w:overflowPunct/>
        <w:topLinePunct w:val="0"/>
        <w:bidi w:val="0"/>
        <w:spacing w:line="560" w:lineRule="exact"/>
        <w:ind w:left="36" w:right="111" w:firstLine="640" w:firstLineChars="200"/>
        <w:jc w:val="left"/>
        <w:textAlignment w:val="auto"/>
        <w:rPr>
          <w:rFonts w:hint="default" w:ascii="方正黑体_GBK" w:hAnsi="方正黑体_GBK" w:eastAsia="仿宋_GB2312" w:cs="方正黑体_GBK"/>
          <w:color w:val="000000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承办单位与赛事举办场馆共同成立安全工作领导小组,制定和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执行</w:t>
      </w:r>
      <w:r>
        <w:rPr>
          <w:rFonts w:hint="eastAsia" w:ascii="仿宋_GB2312" w:hAnsi="仿宋_GB2312" w:eastAsia="仿宋_GB2312" w:cs="仿宋_GB2312"/>
          <w:sz w:val="32"/>
          <w:szCs w:val="32"/>
        </w:rPr>
        <w:t>“六个方案”，即赛事工作方案、安保工作方案、观赛保障方案、“熔断”工作方案、应急预案、紧急救治方案。</w:t>
      </w:r>
    </w:p>
    <w:p w14:paraId="27A59DC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十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  <w:t>一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、本规程由自治区体育局负责解释。</w:t>
      </w:r>
    </w:p>
    <w:p w14:paraId="10513FD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</w:pP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十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  <w:lang w:eastAsia="zh-CN"/>
        </w:rPr>
        <w:t>二</w:t>
      </w:r>
      <w:r>
        <w:rPr>
          <w:rFonts w:hint="eastAsia" w:ascii="方正黑体_GBK" w:hAnsi="方正黑体_GBK" w:eastAsia="方正黑体_GBK" w:cs="方正黑体_GBK"/>
          <w:color w:val="000000"/>
          <w:sz w:val="32"/>
          <w:szCs w:val="32"/>
        </w:rPr>
        <w:t>、未尽事宜，另行通知。</w:t>
      </w:r>
    </w:p>
    <w:p w14:paraId="5195A19D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rPr>
          <w:rFonts w:hint="eastAsia" w:ascii="国标黑体" w:hAnsi="国标黑体" w:eastAsia="国标黑体" w:cs="国标黑体"/>
          <w:color w:val="000000"/>
          <w:sz w:val="32"/>
          <w:szCs w:val="32"/>
        </w:rPr>
      </w:pPr>
    </w:p>
    <w:p w14:paraId="56794A39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rPr>
          <w:rFonts w:hint="eastAsia" w:ascii="国标黑体" w:hAnsi="国标黑体" w:eastAsia="国标黑体" w:cs="国标黑体"/>
          <w:color w:val="000000"/>
          <w:sz w:val="32"/>
          <w:szCs w:val="32"/>
        </w:rPr>
      </w:pPr>
    </w:p>
    <w:p w14:paraId="05D405B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rPr>
          <w:rFonts w:hint="eastAsia" w:ascii="国标黑体" w:hAnsi="国标黑体" w:eastAsia="国标黑体" w:cs="国标黑体"/>
          <w:color w:val="000000"/>
          <w:sz w:val="32"/>
          <w:szCs w:val="32"/>
        </w:rPr>
      </w:pPr>
    </w:p>
    <w:p w14:paraId="4E3010D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rPr>
          <w:rFonts w:hint="eastAsia" w:ascii="国标黑体" w:hAnsi="国标黑体" w:eastAsia="国标黑体" w:cs="国标黑体"/>
          <w:color w:val="000000"/>
          <w:sz w:val="32"/>
          <w:szCs w:val="32"/>
        </w:rPr>
      </w:pPr>
    </w:p>
    <w:p w14:paraId="5C95C1E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3D86D4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DA7CBC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C0F0E4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58E7EF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1A5CB5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  <w: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-1161415</wp:posOffset>
            </wp:positionH>
            <wp:positionV relativeFrom="paragraph">
              <wp:posOffset>-920115</wp:posOffset>
            </wp:positionV>
            <wp:extent cx="7801610" cy="11033760"/>
            <wp:effectExtent l="0" t="0" r="1270" b="0"/>
            <wp:wrapNone/>
            <wp:docPr id="53" name="图片 53" descr="排球运动员等级评定体测标准(3)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排球运动员等级评定体测标准(3)_0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11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E073FC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624505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9C138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0DC89A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7C01B2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C71DC4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D79C97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89E43E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B188BB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8F9CF1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06718F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F41FB3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9481DC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7D7CB1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6376B8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58CE70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DECC7B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92A120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818805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8CE3CE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4B856F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136170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  <w: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-908685</wp:posOffset>
            </wp:positionV>
            <wp:extent cx="7801610" cy="11033760"/>
            <wp:effectExtent l="0" t="0" r="1270" b="0"/>
            <wp:wrapNone/>
            <wp:docPr id="54" name="图片 54" descr="排球运动员等级评定体测标准(3)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排球运动员等级评定体测标准(3)_0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11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2B5E14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D0C54E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68D1C4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DD2876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EF1A68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5700CA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7C4489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3C31F4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26FD2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60301D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9F186B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AE82AB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928294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953F58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6BD7CF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81346E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E18FDE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86412E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5EC65D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DDB8C1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EEAD20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A0CEFC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  <w: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-1176020</wp:posOffset>
            </wp:positionH>
            <wp:positionV relativeFrom="paragraph">
              <wp:posOffset>-1001395</wp:posOffset>
            </wp:positionV>
            <wp:extent cx="7801610" cy="11033760"/>
            <wp:effectExtent l="0" t="0" r="1270" b="0"/>
            <wp:wrapNone/>
            <wp:docPr id="55" name="图片 55" descr="排球运动员等级评定体测标准(3)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排球运动员等级评定体测标准(3)_0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11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1322D6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791844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FCBE3D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C09B1E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FAF300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DB767D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5464E4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1A2C90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938E2C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F66DBA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91347A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2A20A2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3A618B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ACEBB2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673B46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35EE21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B49E36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F1F686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54A823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03BD00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D10154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1A9817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  <w: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-1146175</wp:posOffset>
            </wp:positionH>
            <wp:positionV relativeFrom="paragraph">
              <wp:posOffset>-967105</wp:posOffset>
            </wp:positionV>
            <wp:extent cx="7801610" cy="11033760"/>
            <wp:effectExtent l="0" t="0" r="1270" b="0"/>
            <wp:wrapNone/>
            <wp:docPr id="57" name="图片 57" descr="排球运动员等级评定体测标准(3)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 descr="排球运动员等级评定体测标准(3)_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11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664D47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18C624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10E969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32B98F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EA96D1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762B03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33BEFB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A46F49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55DD61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503DFF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D2E510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13CD86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D55D51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2A2E6A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FE5599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CABCA4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08B77C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A4F203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9F7737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11247E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D7E723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E6A8B2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  <w: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-996950</wp:posOffset>
            </wp:positionV>
            <wp:extent cx="7801610" cy="11033760"/>
            <wp:effectExtent l="0" t="0" r="1270" b="0"/>
            <wp:wrapNone/>
            <wp:docPr id="58" name="图片 58" descr="排球运动员等级评定体测标准(3)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排球运动员等级评定体测标准(3)_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01610" cy="11033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199F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CE777B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D2B0D3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8D707A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5BE5A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4B375E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696F28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A4DC60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2813C9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71E31B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7C794F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8D8FD9C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757935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AE0DDE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83B4F7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CE1E46D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97B1DB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98219B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11C7ED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A699287">
      <w:pP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bookmarkStart w:id="0" w:name="_GoBack"/>
      <w:bookmarkEnd w:id="0"/>
      <w: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  <w:br w:type="page"/>
      </w:r>
    </w:p>
    <w:p w14:paraId="2DE9D372">
      <w:pP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  <w: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-1142365</wp:posOffset>
            </wp:positionV>
            <wp:extent cx="10676255" cy="7549515"/>
            <wp:effectExtent l="0" t="0" r="6985" b="9525"/>
            <wp:wrapNone/>
            <wp:docPr id="60" name="图片 60" descr="B1-报名表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B1-报名表_0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76255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B0095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1CD4D3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0A970E3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26B052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0B37F4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06BF9DE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1B4A3C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BE4EB2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90DB20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600D5C6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3F5A0C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7FB8B7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CE4454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  <w:r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-906780</wp:posOffset>
            </wp:positionH>
            <wp:positionV relativeFrom="paragraph">
              <wp:posOffset>-1135380</wp:posOffset>
            </wp:positionV>
            <wp:extent cx="10676890" cy="7549515"/>
            <wp:effectExtent l="0" t="0" r="6350" b="9525"/>
            <wp:wrapNone/>
            <wp:docPr id="59" name="图片 59" descr="B1-报名表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59" descr="B1-报名表_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76890" cy="7549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58E1C4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035C865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533CA01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3EC38237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12680C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08CDD5F2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2EF97629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5D13630A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6D62D1E0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1FFF8168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74F5D6DB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p w14:paraId="464065FF"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napToGrid/>
        <w:spacing w:line="240" w:lineRule="auto"/>
        <w:textAlignment w:val="auto"/>
        <w:rPr>
          <w:rFonts w:hint="eastAsia" w:ascii="宋体" w:hAnsi="宋体" w:cs="等线 Light" w:eastAsiaTheme="minorEastAsia"/>
          <w:b/>
          <w:bCs/>
          <w:sz w:val="36"/>
          <w:szCs w:val="36"/>
          <w:lang w:eastAsia="zh-CN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CC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2010600030101010101"/>
    <w:charset w:val="7A"/>
    <w:family w:val="auto"/>
    <w:pitch w:val="default"/>
    <w:sig w:usb0="00000000" w:usb1="0000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黑体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等线 Light">
    <w:altName w:val="汉仪中宋简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宋简">
    <w:panose1 w:val="02010600000101010101"/>
    <w:charset w:val="86"/>
    <w:family w:val="auto"/>
    <w:pitch w:val="default"/>
    <w:sig w:usb0="00000001" w:usb1="080E0800" w:usb2="00000002" w:usb3="00000000" w:csb0="00040000" w:csb1="00000000"/>
  </w:font>
  <w:font w:name="国标黑体">
    <w:panose1 w:val="020005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874D49B"/>
    <w:multiLevelType w:val="singleLevel"/>
    <w:tmpl w:val="5874D49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8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F502435"/>
    <w:rsid w:val="155FF669"/>
    <w:rsid w:val="177FF0CD"/>
    <w:rsid w:val="1E570568"/>
    <w:rsid w:val="27BF7A3C"/>
    <w:rsid w:val="2D823CB1"/>
    <w:rsid w:val="35DC4374"/>
    <w:rsid w:val="393F492A"/>
    <w:rsid w:val="3F502435"/>
    <w:rsid w:val="41791D2D"/>
    <w:rsid w:val="57EB6215"/>
    <w:rsid w:val="59F77C38"/>
    <w:rsid w:val="5B2305C4"/>
    <w:rsid w:val="6CA31619"/>
    <w:rsid w:val="73BF145F"/>
    <w:rsid w:val="781C237C"/>
    <w:rsid w:val="7C857813"/>
    <w:rsid w:val="7F9486A1"/>
    <w:rsid w:val="7FFDFFD2"/>
    <w:rsid w:val="BFBF770A"/>
    <w:rsid w:val="DF2F8A6F"/>
    <w:rsid w:val="DFFDA0E0"/>
    <w:rsid w:val="EDB55156"/>
    <w:rsid w:val="EFDF508B"/>
    <w:rsid w:val="EFEFF140"/>
    <w:rsid w:val="FBDB18DA"/>
    <w:rsid w:val="FE1D91AB"/>
    <w:rsid w:val="FEFFE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adjustRightInd w:val="0"/>
      <w:snapToGrid w:val="0"/>
      <w:jc w:val="left"/>
    </w:pPr>
    <w:rPr>
      <w:rFonts w:ascii="仿宋" w:hAnsi="仿宋" w:eastAsia="仿宋" w:cs="Times New Roman"/>
      <w:color w:val="FF0000"/>
      <w:sz w:val="28"/>
      <w:szCs w:val="28"/>
    </w:rPr>
  </w:style>
  <w:style w:type="table" w:styleId="4">
    <w:name w:val="Table Grid"/>
    <w:basedOn w:val="3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2110</Words>
  <Characters>2244</Characters>
  <Lines>0</Lines>
  <Paragraphs>0</Paragraphs>
  <TotalTime>0</TotalTime>
  <ScaleCrop>false</ScaleCrop>
  <LinksUpToDate>false</LinksUpToDate>
  <CharactersWithSpaces>2271</CharactersWithSpaces>
  <Application>WPS Office_12.8.2.1116_F1E327BC-269C-435d-A152-05C5408002CA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2025-02-27T17:11:00Z</dcterms:created>
  <dc:creator>AyanamiRei</dc:creator>
  <cp:lastModifiedBy>huawei</cp:lastModifiedBy>
  <dcterms:modified xsi:type="dcterms:W3CDTF">2025-04-02T09:20:55Z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2052-12.8.2.1116</vt:lpwstr>
  </property>
  <property fmtid="{D5CDD505-2E9C-101B-9397-08002B2CF9AE}" pid="3" name="ICV">
    <vt:lpwstr>841151B0B60F4744A3C95B61F06D54EF_13</vt:lpwstr>
  </property>
  <property fmtid="{D5CDD505-2E9C-101B-9397-08002B2CF9AE}" pid="4" name="KSOTemplateDocerSaveRecord">
    <vt:lpwstr>eyJoZGlkIjoiOWY3YzM2OWMzMjMzNWE5ODM5ODdkMGY1NDJiZTg5OWIiLCJ1c2VySWQiOiIxMTUxNzA1NDQyIn0=</vt:lpwstr>
  </property>
</Properties>
</file>